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440" w:lineRule="exact"/>
        <w:jc w:val="center"/>
        <w:rPr>
          <w:rFonts w:hint="eastAsia" w:ascii="方正小标宋简体" w:hAnsi="方正小标宋简体" w:eastAsia="方正小标宋简体" w:cs="方正小标宋简体"/>
          <w:b w:val="0"/>
          <w:bCs w:val="0"/>
          <w:color w:val="auto"/>
          <w:spacing w:val="3"/>
          <w:sz w:val="44"/>
          <w:szCs w:val="44"/>
          <w:highlight w:val="none"/>
        </w:rPr>
      </w:pPr>
      <w:r>
        <w:rPr>
          <w:rFonts w:hint="eastAsia" w:ascii="方正小标宋简体" w:hAnsi="方正小标宋简体" w:eastAsia="方正小标宋简体" w:cs="方正小标宋简体"/>
          <w:b w:val="0"/>
          <w:bCs w:val="0"/>
          <w:color w:val="auto"/>
          <w:spacing w:val="3"/>
          <w:sz w:val="44"/>
          <w:szCs w:val="44"/>
          <w:highlight w:val="none"/>
        </w:rPr>
        <w:t>惠州市</w:t>
      </w:r>
      <w:r>
        <w:rPr>
          <w:rFonts w:hint="eastAsia" w:ascii="方正小标宋简体" w:hAnsi="方正小标宋简体" w:eastAsia="方正小标宋简体" w:cs="方正小标宋简体"/>
          <w:b w:val="0"/>
          <w:bCs w:val="0"/>
          <w:color w:val="auto"/>
          <w:spacing w:val="3"/>
          <w:sz w:val="44"/>
          <w:szCs w:val="44"/>
          <w:highlight w:val="none"/>
          <w:lang w:eastAsia="zh-CN"/>
        </w:rPr>
        <w:t>龙门县</w:t>
      </w:r>
      <w:r>
        <w:rPr>
          <w:rFonts w:hint="eastAsia" w:ascii="方正小标宋简体" w:hAnsi="方正小标宋简体" w:eastAsia="方正小标宋简体" w:cs="方正小标宋简体"/>
          <w:b w:val="0"/>
          <w:bCs w:val="0"/>
          <w:color w:val="auto"/>
          <w:spacing w:val="3"/>
          <w:sz w:val="44"/>
          <w:szCs w:val="44"/>
          <w:highlight w:val="none"/>
        </w:rPr>
        <w:t>国有建设用地使用权</w:t>
      </w:r>
    </w:p>
    <w:p>
      <w:pPr>
        <w:keepNext w:val="0"/>
        <w:keepLines w:val="0"/>
        <w:pageBreakBefore w:val="0"/>
        <w:tabs>
          <w:tab w:val="left" w:pos="11340"/>
        </w:tabs>
        <w:kinsoku/>
        <w:wordWrap/>
        <w:overflowPunct/>
        <w:topLinePunct w:val="0"/>
        <w:bidi w:val="0"/>
        <w:spacing w:line="440" w:lineRule="exact"/>
        <w:ind w:left="4018" w:hanging="4014" w:hangingChars="90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3"/>
          <w:sz w:val="44"/>
          <w:szCs w:val="44"/>
          <w:highlight w:val="none"/>
        </w:rPr>
        <w:t>网上挂牌</w:t>
      </w:r>
      <w:r>
        <w:rPr>
          <w:rFonts w:hint="eastAsia" w:ascii="方正小标宋简体" w:hAnsi="方正小标宋简体" w:eastAsia="方正小标宋简体" w:cs="方正小标宋简体"/>
          <w:b w:val="0"/>
          <w:bCs w:val="0"/>
          <w:color w:val="auto"/>
          <w:sz w:val="44"/>
          <w:szCs w:val="44"/>
          <w:highlight w:val="none"/>
        </w:rPr>
        <w:t>出让公告</w:t>
      </w:r>
    </w:p>
    <w:p>
      <w:pPr>
        <w:keepNext w:val="0"/>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龙自然资挂</w:t>
      </w:r>
      <w:r>
        <w:rPr>
          <w:rFonts w:hint="eastAsia" w:ascii="仿宋_GB2312" w:hAnsi="仿宋_GB2312" w:eastAsia="仿宋_GB2312" w:cs="仿宋_GB2312"/>
          <w:b w:val="0"/>
          <w:bCs w:val="0"/>
          <w:color w:val="auto"/>
          <w:sz w:val="32"/>
          <w:szCs w:val="32"/>
          <w:highlight w:val="none"/>
          <w:lang w:eastAsia="zh-CN"/>
        </w:rPr>
        <w:t>﹝202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001</w:t>
      </w:r>
      <w:r>
        <w:rPr>
          <w:rFonts w:hint="eastAsia" w:ascii="仿宋_GB2312" w:hAnsi="仿宋_GB2312" w:eastAsia="仿宋_GB2312" w:cs="仿宋_GB2312"/>
          <w:b w:val="0"/>
          <w:bCs w:val="0"/>
          <w:color w:val="auto"/>
          <w:sz w:val="32"/>
          <w:szCs w:val="32"/>
          <w:highlight w:val="none"/>
          <w:lang w:eastAsia="zh-CN"/>
        </w:rPr>
        <w:t>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根据《招标拍卖挂牌出让国有建设用地使用权规定》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国土资源部令第39号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和《广东省土地使用权交易市场管理规定》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广东省人民政府令第79号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的规定，经批准，</w:t>
      </w:r>
      <w:r>
        <w:rPr>
          <w:rFonts w:hint="eastAsia" w:ascii="仿宋_GB2312" w:hAnsi="仿宋_GB2312" w:eastAsia="仿宋_GB2312" w:cs="仿宋_GB2312"/>
          <w:b w:val="0"/>
          <w:bCs w:val="0"/>
          <w:color w:val="auto"/>
          <w:sz w:val="32"/>
          <w:szCs w:val="32"/>
          <w:highlight w:val="none"/>
          <w:lang w:eastAsia="zh-CN"/>
        </w:rPr>
        <w:t>我</w:t>
      </w:r>
      <w:r>
        <w:rPr>
          <w:rFonts w:hint="eastAsia" w:ascii="仿宋_GB2312" w:hAnsi="仿宋_GB2312" w:eastAsia="仿宋_GB2312" w:cs="仿宋_GB2312"/>
          <w:b w:val="0"/>
          <w:bCs w:val="0"/>
          <w:color w:val="auto"/>
          <w:sz w:val="32"/>
          <w:szCs w:val="32"/>
          <w:highlight w:val="none"/>
        </w:rPr>
        <w:t>局决定以网上挂牌方式公开出让下列</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国有建设用地使用权。现将有关事项公告如下：</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挂牌起始价及加价幅度（见附表）</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三、时间安排</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（一）公告时间：</w:t>
      </w:r>
      <w:r>
        <w:rPr>
          <w:rFonts w:hint="eastAsia" w:ascii="仿宋_GB2312" w:hAnsi="仿宋_GB2312" w:eastAsia="仿宋_GB2312" w:cs="仿宋_GB2312"/>
          <w:b w:val="0"/>
          <w:bCs w:val="0"/>
          <w:color w:val="auto"/>
          <w:sz w:val="32"/>
          <w:szCs w:val="32"/>
          <w:highlight w:val="none"/>
          <w:u w:val="single"/>
          <w:lang w:val="en-US" w:eastAsia="zh-CN"/>
        </w:rPr>
        <w:t>2023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3</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19</w:t>
      </w:r>
      <w:r>
        <w:rPr>
          <w:rFonts w:hint="eastAsia" w:ascii="仿宋_GB2312" w:hAnsi="仿宋_GB2312" w:eastAsia="仿宋_GB2312" w:cs="仿宋_GB2312"/>
          <w:b w:val="0"/>
          <w:bCs w:val="0"/>
          <w:color w:val="auto"/>
          <w:sz w:val="32"/>
          <w:szCs w:val="32"/>
          <w:highlight w:val="none"/>
        </w:rPr>
        <w:t>日至</w:t>
      </w:r>
      <w:r>
        <w:rPr>
          <w:rFonts w:hint="eastAsia" w:ascii="仿宋_GB2312" w:hAnsi="仿宋_GB2312" w:eastAsia="仿宋_GB2312" w:cs="仿宋_GB2312"/>
          <w:b w:val="0"/>
          <w:bCs w:val="0"/>
          <w:color w:val="auto"/>
          <w:sz w:val="32"/>
          <w:szCs w:val="32"/>
          <w:highlight w:val="none"/>
          <w:u w:val="single"/>
          <w:lang w:val="en-US" w:eastAsia="zh-CN"/>
        </w:rPr>
        <w:t>2023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4</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9</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（二）网上挂牌竞买时间：</w:t>
      </w:r>
      <w:r>
        <w:rPr>
          <w:rFonts w:hint="eastAsia" w:ascii="仿宋_GB2312" w:hAnsi="仿宋_GB2312" w:eastAsia="仿宋_GB2312" w:cs="仿宋_GB2312"/>
          <w:b w:val="0"/>
          <w:bCs w:val="0"/>
          <w:color w:val="auto"/>
          <w:sz w:val="32"/>
          <w:szCs w:val="32"/>
          <w:highlight w:val="none"/>
          <w:u w:val="single"/>
          <w:lang w:val="en-US" w:eastAsia="zh-CN"/>
        </w:rPr>
        <w:t>2023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4</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9</w:t>
      </w:r>
      <w:r>
        <w:rPr>
          <w:rFonts w:hint="eastAsia" w:ascii="仿宋_GB2312" w:hAnsi="仿宋_GB2312" w:eastAsia="仿宋_GB2312" w:cs="仿宋_GB2312"/>
          <w:b w:val="0"/>
          <w:bCs w:val="0"/>
          <w:color w:val="auto"/>
          <w:sz w:val="32"/>
          <w:szCs w:val="32"/>
          <w:highlight w:val="none"/>
        </w:rPr>
        <w:t>时至</w:t>
      </w:r>
      <w:r>
        <w:rPr>
          <w:rFonts w:hint="eastAsia" w:ascii="仿宋_GB2312" w:hAnsi="仿宋_GB2312" w:eastAsia="仿宋_GB2312" w:cs="仿宋_GB2312"/>
          <w:b w:val="0"/>
          <w:bCs w:val="0"/>
          <w:color w:val="auto"/>
          <w:sz w:val="32"/>
          <w:szCs w:val="32"/>
          <w:highlight w:val="none"/>
          <w:u w:val="single"/>
          <w:lang w:val="en-US" w:eastAsia="zh-CN"/>
        </w:rPr>
        <w:t>2023</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4</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24</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竞买保证金到账截止时间为：</w:t>
      </w:r>
      <w:r>
        <w:rPr>
          <w:rFonts w:hint="eastAsia" w:ascii="仿宋_GB2312" w:hAnsi="仿宋_GB2312" w:eastAsia="仿宋_GB2312" w:cs="仿宋_GB2312"/>
          <w:b w:val="0"/>
          <w:bCs w:val="0"/>
          <w:color w:val="auto"/>
          <w:sz w:val="32"/>
          <w:szCs w:val="32"/>
          <w:highlight w:val="none"/>
          <w:u w:val="single"/>
          <w:lang w:val="en-US" w:eastAsia="zh-CN"/>
        </w:rPr>
        <w:t>2023</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4</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24</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9</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四、竞买资格及要求</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中华人民共和国境内外的法人、自然人和其他组织，符合竞买资格条件的,均可通过网上挂牌交易系统，申请参加电子挂牌交易活动，法律、法规另有规定的从其规定。</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（一）交纳足额竞买保证金；</w:t>
      </w:r>
    </w:p>
    <w:p>
      <w:pPr>
        <w:pStyle w:val="8"/>
        <w:keepNext w:val="0"/>
        <w:keepLines w:val="0"/>
        <w:pageBreakBefore w:val="0"/>
        <w:widowControl/>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（二）存在下列行为之一的企业及其控股股东，不得参与竞买上述地块：</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1、伪造公文骗取用地行为；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2、非法转让土地使用权行为；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3、因企业原因造成土地闲置一年以上且至报名日止未处理完结；</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4、未按《国有建设用地使用权出让合同》（以下简称《出让合同》）约定条件开发利用土地且至报名日止未处理完结；</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5、至报名日止仍拖欠政府地价款</w:t>
      </w:r>
      <w:r>
        <w:rPr>
          <w:rFonts w:hint="eastAsia" w:ascii="仿宋_GB2312" w:hAnsi="仿宋_GB2312" w:eastAsia="仿宋_GB2312" w:cs="仿宋_GB2312"/>
          <w:b w:val="0"/>
          <w:bCs w:val="0"/>
          <w:color w:val="auto"/>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ind w:firstLine="960" w:firstLineChars="3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rPr>
        <w:t>竞买保证金</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（一）</w:t>
      </w:r>
      <w:r>
        <w:rPr>
          <w:rFonts w:hint="eastAsia" w:ascii="仿宋_GB2312" w:hAnsi="仿宋_GB2312" w:eastAsia="仿宋_GB2312" w:cs="仿宋_GB2312"/>
          <w:b w:val="0"/>
          <w:bCs w:val="0"/>
          <w:color w:val="auto"/>
          <w:sz w:val="32"/>
          <w:szCs w:val="32"/>
          <w:highlight w:val="none"/>
        </w:rPr>
        <w:t>申请人应当在网上挂牌出让竞买保证金到账截止时间前登录惠州市公共资源交易中心（以下简称“交易中心”）土地与矿业网上挂牌交易系统（以下简称“网上挂牌交易系统”</w:t>
      </w:r>
      <w:r>
        <w:rPr>
          <w:rFonts w:hint="eastAsia" w:ascii="仿宋_GB2312" w:hAnsi="仿宋_GB2312" w:eastAsia="仿宋_GB2312" w:cs="仿宋_GB2312"/>
          <w:i w:val="0"/>
          <w:iCs w:val="0"/>
          <w:caps w:val="0"/>
          <w:color w:val="333333"/>
          <w:spacing w:val="0"/>
          <w:sz w:val="32"/>
          <w:szCs w:val="32"/>
          <w:shd w:val="clear" w:fill="FFFFFF"/>
        </w:rPr>
        <w:t>，网址：https://www.hzgtjy.com/</w:t>
      </w:r>
      <w:r>
        <w:rPr>
          <w:rFonts w:hint="eastAsia" w:ascii="仿宋_GB2312" w:hAnsi="仿宋_GB2312" w:eastAsia="仿宋_GB2312" w:cs="仿宋_GB2312"/>
          <w:b w:val="0"/>
          <w:bCs w:val="0"/>
          <w:color w:val="auto"/>
          <w:sz w:val="32"/>
          <w:szCs w:val="32"/>
          <w:highlight w:val="none"/>
        </w:rPr>
        <w:t>）获取竞买保证金支付账号。</w:t>
      </w:r>
    </w:p>
    <w:p>
      <w:pPr>
        <w:keepNext w:val="0"/>
        <w:keepLines w:val="0"/>
        <w:pageBreakBefore w:val="0"/>
        <w:numPr>
          <w:ilvl w:val="0"/>
          <w:numId w:val="0"/>
        </w:numPr>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可以单独申请，也可以联合申请。</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单独申请竞买的，竞买申请人为非本县注册登记的企业，在竞得土地后，必须于2个月内在本县市场监督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县市场监督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七、竞买人电子报价及电子限时竞价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八、确定成交候选人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国有建设用地使用权网上挂牌出让为无底价挂牌，采取价高者得方式出让并确定成交候选人。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九、资格审查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成交候选人应在网上挂牌交易系统确定成交候选人之日起3个工作日内将竞买申请书等材料上传至土地与矿业网上挂牌交易系统，由我局对竞买资格进行审查。我局将于2023年4月27日前确定符合竞买资格的成交候选人为竞得人（成交候选人上传材料的具体操作详见网上挂牌交易系统资料下载栏目中的《惠州市公共资源交易中心土地与矿业交易系统新增建设功能操作指南》）。</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成交候选人资格审查须提交下列材料：</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《竞买申请书》（加盖公章）；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《竞价结果通知书》（加盖公章）；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《竞买保证金到账通知书》（加盖公章）；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竞买保证金转账凭证复印件（加盖公章）；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申请竞买人有效的《营业执照》复印件（加盖公章）；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法定代表人身份证复印件（加盖公章）；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授权他人代理的授权委托书及代理人身份证复印件（核对原件）；</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联合竞买协议（联合竞买的提供）；</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十、签订交易成交确认书及出让合同</w:t>
      </w:r>
    </w:p>
    <w:p>
      <w:pPr>
        <w:keepNext w:val="0"/>
        <w:keepLines w:val="0"/>
        <w:pageBreakBefore w:val="0"/>
        <w:kinsoku/>
        <w:wordWrap/>
        <w:overflowPunct/>
        <w:topLinePunct w:val="0"/>
        <w:autoSpaceDE/>
        <w:autoSpaceDN/>
        <w:bidi w:val="0"/>
        <w:spacing w:line="44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竞得人应在接到竞得人确定通知之日起</w:t>
      </w:r>
      <w:r>
        <w:rPr>
          <w:rFonts w:hint="eastAsia" w:ascii="仿宋_GB2312" w:hAnsi="仿宋_GB2312" w:eastAsia="仿宋_GB2312" w:cs="仿宋_GB2312"/>
          <w:b w:val="0"/>
          <w:bCs w:val="0"/>
          <w:color w:val="auto"/>
          <w:sz w:val="32"/>
          <w:szCs w:val="32"/>
          <w:highlight w:val="none"/>
          <w:u w:val="single"/>
          <w:lang w:val="en-US" w:eastAsia="zh-CN"/>
        </w:rPr>
        <w:t>5</w:t>
      </w:r>
      <w:r>
        <w:rPr>
          <w:rFonts w:hint="eastAsia" w:ascii="仿宋_GB2312" w:hAnsi="仿宋_GB2312" w:eastAsia="仿宋_GB2312" w:cs="仿宋_GB2312"/>
          <w:b w:val="0"/>
          <w:bCs w:val="0"/>
          <w:color w:val="auto"/>
          <w:sz w:val="32"/>
          <w:szCs w:val="32"/>
          <w:highlight w:val="none"/>
        </w:rPr>
        <w:t>个工作日内</w:t>
      </w:r>
      <w:r>
        <w:rPr>
          <w:rFonts w:hint="eastAsia" w:ascii="仿宋_GB2312" w:hAnsi="仿宋_GB2312" w:eastAsia="仿宋_GB2312" w:cs="仿宋_GB2312"/>
          <w:b w:val="0"/>
          <w:bCs w:val="0"/>
          <w:color w:val="auto"/>
          <w:sz w:val="32"/>
          <w:szCs w:val="32"/>
          <w:highlight w:val="none"/>
          <w:lang w:eastAsia="zh-CN"/>
        </w:rPr>
        <w:t>与我局、交易中心</w:t>
      </w:r>
      <w:r>
        <w:rPr>
          <w:rFonts w:hint="eastAsia" w:ascii="仿宋_GB2312" w:hAnsi="仿宋_GB2312" w:eastAsia="仿宋_GB2312" w:cs="仿宋_GB2312"/>
          <w:b w:val="0"/>
          <w:bCs w:val="0"/>
          <w:color w:val="auto"/>
          <w:sz w:val="32"/>
          <w:szCs w:val="32"/>
          <w:highlight w:val="none"/>
        </w:rPr>
        <w:t>签订《成交确认书》，在签订《成交确认书》之日起</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u w:val="none"/>
          <w:lang w:val="en-US" w:eastAsia="zh-CN"/>
        </w:rPr>
        <w:t>个工作日</w:t>
      </w:r>
      <w:r>
        <w:rPr>
          <w:rFonts w:hint="eastAsia" w:ascii="仿宋_GB2312" w:hAnsi="仿宋_GB2312" w:eastAsia="仿宋_GB2312" w:cs="仿宋_GB2312"/>
          <w:b w:val="0"/>
          <w:bCs w:val="0"/>
          <w:color w:val="auto"/>
          <w:sz w:val="32"/>
          <w:szCs w:val="32"/>
          <w:highlight w:val="none"/>
        </w:rPr>
        <w:t>内与我局签订《出让合同》。</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十一、竞买保证金退还或转付成交价款</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签订交易合同，竞得人</w:t>
      </w:r>
      <w:r>
        <w:rPr>
          <w:rFonts w:hint="eastAsia" w:ascii="仿宋_GB2312" w:hAnsi="仿宋_GB2312" w:eastAsia="仿宋_GB2312" w:cs="仿宋_GB2312"/>
          <w:b w:val="0"/>
          <w:bCs w:val="0"/>
          <w:color w:val="auto"/>
          <w:sz w:val="32"/>
          <w:szCs w:val="32"/>
          <w:highlight w:val="none"/>
          <w:shd w:val="clear" w:color="auto" w:fill="auto"/>
          <w:lang w:eastAsia="zh-CN"/>
        </w:rPr>
        <w:t>交</w:t>
      </w:r>
      <w:r>
        <w:rPr>
          <w:rFonts w:hint="eastAsia" w:ascii="仿宋_GB2312" w:hAnsi="仿宋_GB2312" w:eastAsia="仿宋_GB2312" w:cs="仿宋_GB2312"/>
          <w:b w:val="0"/>
          <w:bCs w:val="0"/>
          <w:color w:val="auto"/>
          <w:sz w:val="32"/>
          <w:szCs w:val="32"/>
          <w:highlight w:val="none"/>
          <w:shd w:val="clear" w:color="auto" w:fill="auto"/>
        </w:rPr>
        <w:t>纳</w:t>
      </w:r>
      <w:r>
        <w:rPr>
          <w:rFonts w:hint="eastAsia" w:ascii="仿宋_GB2312" w:hAnsi="仿宋_GB2312" w:eastAsia="仿宋_GB2312" w:cs="仿宋_GB2312"/>
          <w:b w:val="0"/>
          <w:bCs w:val="0"/>
          <w:color w:val="auto"/>
          <w:sz w:val="32"/>
          <w:szCs w:val="32"/>
          <w:highlight w:val="none"/>
        </w:rPr>
        <w:t>的竞买保证金按成交价的</w:t>
      </w:r>
      <w:r>
        <w:rPr>
          <w:rFonts w:hint="eastAsia" w:ascii="仿宋_GB2312" w:hAnsi="仿宋_GB2312" w:eastAsia="仿宋_GB2312" w:cs="仿宋_GB2312"/>
          <w:b w:val="0"/>
          <w:bCs w:val="0"/>
          <w:color w:val="auto"/>
          <w:sz w:val="32"/>
          <w:szCs w:val="32"/>
          <w:highlight w:val="none"/>
          <w:u w:val="single"/>
          <w:lang w:val="en-US" w:eastAsia="zh-CN"/>
        </w:rPr>
        <w:t>20</w:t>
      </w:r>
      <w:r>
        <w:rPr>
          <w:rFonts w:hint="eastAsia" w:ascii="仿宋_GB2312" w:hAnsi="仿宋_GB2312" w:eastAsia="仿宋_GB2312" w:cs="仿宋_GB2312"/>
          <w:b w:val="0"/>
          <w:bCs w:val="0"/>
          <w:color w:val="auto"/>
          <w:sz w:val="32"/>
          <w:szCs w:val="32"/>
          <w:highlight w:val="none"/>
        </w:rPr>
        <w:t>%转作受让宗地的定金。如竞买保证金不足以缴纳定金，不足部分在交易系统确定成交之日起5个工作日内补齐；如竞买保证金转作定金后有剩余，余额转作宗地成交价款，定金可抵作宗地成交价款。</w:t>
      </w:r>
    </w:p>
    <w:p>
      <w:pPr>
        <w:pStyle w:val="4"/>
        <w:keepNext w:val="0"/>
        <w:keepLines w:val="0"/>
        <w:pageBreakBefore w:val="0"/>
        <w:kinsoku/>
        <w:wordWrap/>
        <w:overflowPunct/>
        <w:topLinePunct w:val="0"/>
        <w:autoSpaceDE/>
        <w:autoSpaceDN/>
        <w:bidi w:val="0"/>
        <w:spacing w:line="440" w:lineRule="exact"/>
        <w:ind w:firstLine="64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未竞得人交纳的竞买保证金于电子挂牌交易活动结束之日起带齐相关资料（《保证金到账通知书》及进账单等）到本分中心退还保证金，不计利息。</w:t>
      </w:r>
    </w:p>
    <w:p>
      <w:pPr>
        <w:pStyle w:val="4"/>
        <w:keepNext w:val="0"/>
        <w:keepLines w:val="0"/>
        <w:pageBreakBefore w:val="0"/>
        <w:kinsoku/>
        <w:wordWrap/>
        <w:overflowPunct/>
        <w:topLinePunct w:val="0"/>
        <w:autoSpaceDE/>
        <w:autoSpaceDN/>
        <w:bidi w:val="0"/>
        <w:spacing w:line="440" w:lineRule="exact"/>
        <w:ind w:firstLine="64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竞得人交纳的竞买保证金转付成交价款，竞得人应带齐如下相关资料到交易中心办理转付成交价款手续：</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保证金到账通知书；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竞价结果通知书；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保证金转账凭证。</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、成交价款支付方式及期限</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土地成交价款须以人民币支付,竞得人在签订</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出让合同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之日起</w:t>
      </w:r>
      <w:r>
        <w:rPr>
          <w:rFonts w:hint="eastAsia" w:ascii="仿宋_GB2312" w:hAnsi="仿宋_GB2312" w:eastAsia="仿宋_GB2312" w:cs="仿宋_GB2312"/>
          <w:b w:val="0"/>
          <w:bCs w:val="0"/>
          <w:color w:val="auto"/>
          <w:sz w:val="32"/>
          <w:szCs w:val="32"/>
          <w:highlight w:val="none"/>
          <w:u w:val="single"/>
          <w:lang w:val="en-US" w:eastAsia="zh-CN"/>
        </w:rPr>
        <w:t>30</w:t>
      </w:r>
      <w:r>
        <w:rPr>
          <w:rFonts w:hint="eastAsia" w:ascii="仿宋_GB2312" w:hAnsi="仿宋_GB2312" w:eastAsia="仿宋_GB2312" w:cs="仿宋_GB2312"/>
          <w:b w:val="0"/>
          <w:bCs w:val="0"/>
          <w:color w:val="auto"/>
          <w:sz w:val="32"/>
          <w:szCs w:val="32"/>
          <w:highlight w:val="none"/>
        </w:rPr>
        <w:t>日内一次性付清全部成交价款。</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不符合竞买资格条件的；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提供虚假文件材料，隐瞒重要事实的；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采取行贿、恶意串通等非法手段竞得的；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无正当理由逾期或拒绝签订成交确认书的；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无正当理由逾期或拒绝签订交易合同的。</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44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（一）本宗地网上挂牌出让的详细资料和具体要求，见交易中心网上挂牌交易系统（https://www.hzgtjy.com/）。申请人可在网上挂牌交易系统下载挂牌出让公告、须知及相关交易文件。</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（二）有意竞买者可以自行到地块现场踏勘（可在网上挂牌交易系统查阅位置图和现状图）。</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（四）地块动工竣工时间及地块交付时间</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地块动工时间为地块交付之日起一年内，竣工时间为动工之日起三年内（因不可抗拒因素除外）；</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竞得人在付清地价款后一个月内办理交地手续，凭《</w:t>
      </w:r>
      <w:r>
        <w:rPr>
          <w:rFonts w:hint="eastAsia" w:ascii="仿宋_GB2312" w:hAnsi="仿宋_GB2312" w:eastAsia="仿宋_GB2312" w:cs="仿宋_GB2312"/>
          <w:b w:val="0"/>
          <w:bCs w:val="0"/>
          <w:color w:val="auto"/>
          <w:sz w:val="32"/>
          <w:szCs w:val="32"/>
          <w:highlight w:val="none"/>
          <w:lang w:eastAsia="zh-CN"/>
        </w:rPr>
        <w:t>成交</w:t>
      </w:r>
      <w:r>
        <w:rPr>
          <w:rFonts w:hint="eastAsia" w:ascii="仿宋_GB2312" w:hAnsi="仿宋_GB2312" w:eastAsia="仿宋_GB2312" w:cs="仿宋_GB2312"/>
          <w:b w:val="0"/>
          <w:bCs w:val="0"/>
          <w:color w:val="auto"/>
          <w:sz w:val="32"/>
          <w:szCs w:val="32"/>
          <w:highlight w:val="none"/>
        </w:rPr>
        <w:t>确认书》、《出让合同》和地价款交款凭证等申请办理土地初始登记，领取《不动产权证书》。</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（五）土地开发及使用规定</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1、竞得人在用地红线内开发建设必须按《建设用地规划设计条件》的规划控制指标要求及有关规定进行规划设计，配建相关配套设施。</w:t>
      </w:r>
    </w:p>
    <w:p>
      <w:pPr>
        <w:keepNext w:val="0"/>
        <w:keepLines w:val="0"/>
        <w:pageBreakBefore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lang w:val="en-US" w:eastAsia="zh-CN" w:bidi="ar-SA"/>
        </w:rPr>
        <w:t>LM2023-3号、</w:t>
      </w:r>
      <w:r>
        <w:rPr>
          <w:rFonts w:hint="eastAsia" w:ascii="仿宋_GB2312" w:hAnsi="仿宋_GB2312" w:eastAsia="仿宋_GB2312" w:cs="仿宋_GB2312"/>
          <w:b w:val="0"/>
          <w:bCs w:val="0"/>
          <w:kern w:val="2"/>
          <w:sz w:val="32"/>
          <w:szCs w:val="32"/>
          <w:lang w:val="en-US" w:eastAsia="zh-CN"/>
        </w:rPr>
        <w:t>LM2023-4</w:t>
      </w:r>
      <w:r>
        <w:rPr>
          <w:rFonts w:hint="eastAsia" w:ascii="仿宋_GB2312" w:hAnsi="仿宋_GB2312" w:eastAsia="仿宋_GB2312" w:cs="仿宋_GB2312"/>
          <w:color w:val="auto"/>
          <w:kern w:val="0"/>
          <w:sz w:val="32"/>
          <w:szCs w:val="32"/>
          <w:lang w:val="en-US" w:eastAsia="zh-CN" w:bidi="ar-SA"/>
        </w:rPr>
        <w:t>号地块所经营的产业类型为塑料薄膜制造项目；投资强度需不低于人民币4500元/平方米，自土地交付之日起第五个自然年全面达产，达产后单位产值不低于人民币9000元/平方米/年、单位税收贡献不低于人民币450元/平方米/年，竞得土地后3个工作日内（签订《成交确认书》前）与惠州产业转移工业园管委会签订《地块建设和使用监管协议书》，由惠州产业转移工业园管委会对项目用地实施监管。</w:t>
      </w:r>
    </w:p>
    <w:p>
      <w:pPr>
        <w:keepNext w:val="0"/>
        <w:keepLines w:val="0"/>
        <w:pageBreakBefore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b w:val="0"/>
          <w:bCs w:val="0"/>
          <w:kern w:val="2"/>
          <w:sz w:val="32"/>
          <w:szCs w:val="32"/>
          <w:lang w:val="en-US" w:eastAsia="zh-CN"/>
        </w:rPr>
        <w:t>LM2023-5</w:t>
      </w:r>
      <w:r>
        <w:rPr>
          <w:rFonts w:hint="eastAsia" w:ascii="仿宋_GB2312" w:hAnsi="仿宋_GB2312" w:eastAsia="仿宋_GB2312" w:cs="仿宋_GB2312"/>
          <w:color w:val="auto"/>
          <w:kern w:val="0"/>
          <w:sz w:val="32"/>
          <w:szCs w:val="32"/>
          <w:lang w:val="en-US" w:eastAsia="zh-CN" w:bidi="ar-SA"/>
        </w:rPr>
        <w:t>号地块所经营的产业类型为</w:t>
      </w:r>
      <w:bookmarkStart w:id="0" w:name="_GoBack"/>
      <w:r>
        <w:rPr>
          <w:rFonts w:hint="eastAsia" w:ascii="仿宋_GB2312" w:hAnsi="仿宋_GB2312" w:eastAsia="仿宋_GB2312" w:cs="仿宋_GB2312"/>
          <w:color w:val="auto"/>
          <w:kern w:val="0"/>
          <w:sz w:val="32"/>
          <w:szCs w:val="32"/>
          <w:lang w:val="en-US" w:eastAsia="zh-CN" w:bidi="ar-SA"/>
        </w:rPr>
        <w:t>初级形态塑料及合成树脂制造项目</w:t>
      </w:r>
      <w:bookmarkEnd w:id="0"/>
      <w:r>
        <w:rPr>
          <w:rFonts w:hint="eastAsia" w:ascii="仿宋_GB2312" w:hAnsi="仿宋_GB2312" w:eastAsia="仿宋_GB2312" w:cs="仿宋_GB2312"/>
          <w:color w:val="auto"/>
          <w:kern w:val="0"/>
          <w:sz w:val="32"/>
          <w:szCs w:val="32"/>
          <w:lang w:val="en-US" w:eastAsia="zh-CN" w:bidi="ar-SA"/>
        </w:rPr>
        <w:t>；投资强度需不低于人民币4500元/平方米，自土地交付之日起第五个自然年全面达产，达产后单位产值不低于人民币9000元/平方米/年、单位税收贡献不低于人民币450元/平方米/年，竞得土地后3个工作日内（签订《成交确认书》前）与惠州产业转移工业园管委会签订《地块建设和使用监管协议书》，由惠州产业转移工业园管委会对项目用地实施监管。</w:t>
      </w:r>
    </w:p>
    <w:p>
      <w:pPr>
        <w:keepNext w:val="0"/>
        <w:keepLines w:val="0"/>
        <w:pageBreakBefore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SA"/>
        </w:rPr>
        <w:t>4、LM2023-3号、</w:t>
      </w:r>
      <w:r>
        <w:rPr>
          <w:rFonts w:hint="eastAsia" w:ascii="仿宋_GB2312" w:hAnsi="仿宋_GB2312" w:eastAsia="仿宋_GB2312" w:cs="仿宋_GB2312"/>
          <w:b w:val="0"/>
          <w:bCs w:val="0"/>
          <w:kern w:val="2"/>
          <w:sz w:val="32"/>
          <w:szCs w:val="32"/>
          <w:lang w:val="en-US" w:eastAsia="zh-CN"/>
        </w:rPr>
        <w:t>LM2023-4</w:t>
      </w:r>
      <w:r>
        <w:rPr>
          <w:rFonts w:hint="eastAsia" w:ascii="仿宋_GB2312" w:hAnsi="仿宋_GB2312" w:eastAsia="仿宋_GB2312" w:cs="仿宋_GB2312"/>
          <w:color w:val="auto"/>
          <w:kern w:val="0"/>
          <w:sz w:val="32"/>
          <w:szCs w:val="32"/>
          <w:lang w:val="en-US" w:eastAsia="zh-CN" w:bidi="ar-SA"/>
        </w:rPr>
        <w:t>号、</w:t>
      </w:r>
      <w:r>
        <w:rPr>
          <w:rFonts w:hint="eastAsia" w:ascii="仿宋_GB2312" w:hAnsi="仿宋_GB2312" w:eastAsia="仿宋_GB2312" w:cs="仿宋_GB2312"/>
          <w:b w:val="0"/>
          <w:bCs w:val="0"/>
          <w:kern w:val="2"/>
          <w:sz w:val="32"/>
          <w:szCs w:val="32"/>
          <w:lang w:val="en-US" w:eastAsia="zh-CN"/>
        </w:rPr>
        <w:t>LM2023-5</w:t>
      </w:r>
      <w:r>
        <w:rPr>
          <w:rFonts w:hint="eastAsia" w:ascii="仿宋_GB2312" w:hAnsi="仿宋_GB2312" w:eastAsia="仿宋_GB2312" w:cs="仿宋_GB2312"/>
          <w:color w:val="auto"/>
          <w:kern w:val="0"/>
          <w:sz w:val="32"/>
          <w:szCs w:val="32"/>
          <w:lang w:val="en-US" w:eastAsia="zh-CN" w:bidi="ar-SA"/>
        </w:rPr>
        <w:t>号地块竞得人在签订《出让合同》前，须向县自然资源局提交《产业发展承诺书》作为《出让合同》的附件。</w:t>
      </w:r>
    </w:p>
    <w:p>
      <w:pPr>
        <w:keepNext w:val="0"/>
        <w:keepLines w:val="0"/>
        <w:pageBreakBefore w:val="0"/>
        <w:numPr>
          <w:ilvl w:val="0"/>
          <w:numId w:val="0"/>
        </w:numPr>
        <w:kinsoku/>
        <w:wordWrap/>
        <w:overflowPunct/>
        <w:topLinePunct w:val="0"/>
        <w:autoSpaceDE/>
        <w:autoSpaceDN/>
        <w:bidi w:val="0"/>
        <w:spacing w:line="440" w:lineRule="exact"/>
        <w:ind w:leftChars="200" w:firstLine="320" w:firstLineChars="1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十五、</w:t>
      </w:r>
      <w:r>
        <w:rPr>
          <w:rFonts w:hint="eastAsia" w:ascii="仿宋_GB2312" w:hAnsi="仿宋_GB2312" w:eastAsia="仿宋_GB2312" w:cs="仿宋_GB2312"/>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出让方：</w:t>
      </w:r>
      <w:r>
        <w:rPr>
          <w:rFonts w:hint="eastAsia" w:ascii="仿宋_GB2312" w:hAnsi="仿宋_GB2312" w:eastAsia="仿宋_GB2312" w:cs="仿宋_GB2312"/>
          <w:i w:val="0"/>
          <w:caps w:val="0"/>
          <w:color w:val="auto"/>
          <w:spacing w:val="0"/>
          <w:sz w:val="32"/>
          <w:szCs w:val="32"/>
          <w:highlight w:val="none"/>
          <w:shd w:val="clear" w:color="auto" w:fill="FFFFFF"/>
        </w:rPr>
        <w:t>惠州市龙门县自然资源局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联系</w:t>
      </w:r>
      <w:r>
        <w:rPr>
          <w:rFonts w:hint="eastAsia" w:ascii="仿宋_GB2312" w:hAnsi="仿宋_GB2312" w:eastAsia="仿宋_GB2312" w:cs="仿宋_GB2312"/>
          <w:i w:val="0"/>
          <w:caps w:val="0"/>
          <w:color w:val="auto"/>
          <w:spacing w:val="0"/>
          <w:sz w:val="32"/>
          <w:szCs w:val="32"/>
          <w:highlight w:val="none"/>
          <w:shd w:val="clear" w:color="auto" w:fill="FFFFFF"/>
        </w:rPr>
        <w:t>地址：惠州市龙门县龙新公路西埔路段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联系人：</w:t>
      </w:r>
      <w:r>
        <w:rPr>
          <w:rFonts w:hint="eastAsia" w:ascii="仿宋_GB2312" w:hAnsi="仿宋_GB2312" w:eastAsia="仿宋_GB2312" w:cs="仿宋_GB2312"/>
          <w:i w:val="0"/>
          <w:caps w:val="0"/>
          <w:color w:val="auto"/>
          <w:spacing w:val="0"/>
          <w:sz w:val="32"/>
          <w:szCs w:val="32"/>
          <w:highlight w:val="none"/>
          <w:shd w:val="clear" w:color="auto" w:fill="FFFFFF"/>
          <w:lang w:eastAsia="zh-CN"/>
        </w:rPr>
        <w:t>钟先生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联系电话：</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0752</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7783681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交易机构：</w:t>
      </w:r>
      <w:r>
        <w:rPr>
          <w:rFonts w:hint="eastAsia" w:ascii="仿宋_GB2312" w:hAnsi="仿宋_GB2312" w:eastAsia="仿宋_GB2312" w:cs="仿宋_GB2312"/>
          <w:i w:val="0"/>
          <w:caps w:val="0"/>
          <w:color w:val="auto"/>
          <w:spacing w:val="0"/>
          <w:sz w:val="32"/>
          <w:szCs w:val="32"/>
          <w:highlight w:val="none"/>
          <w:shd w:val="clear" w:color="auto" w:fill="FFFFFF"/>
        </w:rPr>
        <w:t>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联系</w:t>
      </w:r>
      <w:r>
        <w:rPr>
          <w:rFonts w:hint="eastAsia" w:ascii="仿宋_GB2312" w:hAnsi="仿宋_GB2312" w:eastAsia="仿宋_GB2312" w:cs="仿宋_GB2312"/>
          <w:i w:val="0"/>
          <w:caps w:val="0"/>
          <w:color w:val="auto"/>
          <w:spacing w:val="0"/>
          <w:sz w:val="32"/>
          <w:szCs w:val="32"/>
          <w:highlight w:val="none"/>
          <w:shd w:val="clear" w:color="auto" w:fill="FFFFFF"/>
        </w:rPr>
        <w:t>地址：广东省惠州市龙门县体育西路6号城投大厦二楼惠州市公共资源交易中心龙门分中心。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联系人：谢小姐、陈先生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联系电话：（0752）7988083</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注：本公告同时在下列网站及</w:t>
      </w:r>
      <w:r>
        <w:rPr>
          <w:rFonts w:hint="eastAsia" w:ascii="仿宋_GB2312" w:hAnsi="仿宋_GB2312" w:eastAsia="仿宋_GB2312" w:cs="仿宋_GB2312"/>
          <w:b w:val="0"/>
          <w:bCs w:val="0"/>
          <w:color w:val="auto"/>
          <w:sz w:val="32"/>
          <w:szCs w:val="32"/>
          <w:highlight w:val="none"/>
          <w:lang w:val="en-US" w:eastAsia="zh-CN"/>
        </w:rPr>
        <w:t>报刊</w:t>
      </w:r>
      <w:r>
        <w:rPr>
          <w:rFonts w:hint="eastAsia" w:ascii="仿宋_GB2312" w:hAnsi="仿宋_GB2312" w:eastAsia="仿宋_GB2312" w:cs="仿宋_GB2312"/>
          <w:b w:val="0"/>
          <w:bCs w:val="0"/>
          <w:color w:val="auto"/>
          <w:sz w:val="32"/>
          <w:szCs w:val="32"/>
          <w:highlight w:val="none"/>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中国土地市场网: http://www.landchina.com</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广东</w:t>
      </w:r>
      <w:r>
        <w:rPr>
          <w:rFonts w:hint="eastAsia" w:ascii="仿宋_GB2312" w:hAnsi="仿宋_GB2312" w:eastAsia="仿宋_GB2312" w:cs="仿宋_GB2312"/>
          <w:i w:val="0"/>
          <w:caps w:val="0"/>
          <w:color w:val="auto"/>
          <w:spacing w:val="0"/>
          <w:sz w:val="32"/>
          <w:szCs w:val="32"/>
          <w:highlight w:val="none"/>
          <w:shd w:val="clear" w:color="auto" w:fill="FFFFFF"/>
        </w:rPr>
        <w:t>省公共资源交易平台</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https://ygp.gdzwfw.gov.cn</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广东省自然资源厅：http://nr.gd.gov.cn/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龙门县人民政府网:（龙门县自然资源局、惠州市公共资源交易中心龙门分中心）：http://www.longmen.gov.cn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惠州市公共资源交易中心网：http://zyjy.huizhou.gov.cn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惠州日报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联系电话：0752-7121029</w:t>
      </w:r>
    </w:p>
    <w:p>
      <w:pPr>
        <w:pStyle w:val="4"/>
        <w:keepNext w:val="0"/>
        <w:keepLines w:val="0"/>
        <w:pageBreakBefore w:val="0"/>
        <w:kinsoku/>
        <w:wordWrap/>
        <w:overflowPunct/>
        <w:topLinePunct w:val="0"/>
        <w:autoSpaceDE/>
        <w:autoSpaceDN/>
        <w:bidi w:val="0"/>
        <w:spacing w:line="440" w:lineRule="exact"/>
        <w:ind w:firstLine="4480" w:firstLineChars="1400"/>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4"/>
        <w:keepNext w:val="0"/>
        <w:keepLines w:val="0"/>
        <w:pageBreakBefore w:val="0"/>
        <w:kinsoku/>
        <w:wordWrap/>
        <w:overflowPunct/>
        <w:topLinePunct w:val="0"/>
        <w:autoSpaceDE/>
        <w:autoSpaceDN/>
        <w:bidi w:val="0"/>
        <w:spacing w:line="440" w:lineRule="exact"/>
        <w:ind w:firstLine="4480" w:firstLineChars="1400"/>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4"/>
        <w:keepNext w:val="0"/>
        <w:keepLines w:val="0"/>
        <w:pageBreakBefore w:val="0"/>
        <w:kinsoku/>
        <w:wordWrap/>
        <w:overflowPunct/>
        <w:topLinePunct w:val="0"/>
        <w:autoSpaceDE/>
        <w:autoSpaceDN/>
        <w:bidi w:val="0"/>
        <w:spacing w:line="440" w:lineRule="exact"/>
        <w:ind w:firstLine="4480" w:firstLineChars="1400"/>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4"/>
        <w:keepNext w:val="0"/>
        <w:keepLines w:val="0"/>
        <w:pageBreakBefore w:val="0"/>
        <w:kinsoku/>
        <w:wordWrap/>
        <w:overflowPunct/>
        <w:topLinePunct w:val="0"/>
        <w:autoSpaceDE/>
        <w:autoSpaceDN/>
        <w:bidi w:val="0"/>
        <w:spacing w:line="440" w:lineRule="exact"/>
        <w:ind w:firstLine="4800" w:firstLineChars="1500"/>
        <w:textAlignment w:val="auto"/>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u w:val="none"/>
          <w:lang w:val="en-US" w:eastAsia="zh-CN"/>
        </w:rPr>
        <w:t>龙门县</w:t>
      </w:r>
      <w:r>
        <w:rPr>
          <w:rFonts w:hint="eastAsia" w:ascii="仿宋_GB2312" w:hAnsi="仿宋_GB2312" w:eastAsia="仿宋_GB2312" w:cs="仿宋_GB2312"/>
          <w:b w:val="0"/>
          <w:bCs w:val="0"/>
          <w:color w:val="auto"/>
          <w:sz w:val="32"/>
          <w:szCs w:val="32"/>
          <w:highlight w:val="none"/>
        </w:rPr>
        <w:t>自然资源局</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2023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none"/>
          <w:lang w:val="en-US" w:eastAsia="zh-CN"/>
        </w:rPr>
        <w:t>18</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kinsoku/>
        <w:wordWrap/>
        <w:overflowPunct/>
        <w:topLinePunct w:val="0"/>
        <w:bidi w:val="0"/>
        <w:spacing w:line="440" w:lineRule="exact"/>
        <w:rPr>
          <w:rFonts w:hint="eastAsia"/>
          <w:color w:val="auto"/>
          <w:highlight w:val="none"/>
        </w:rPr>
      </w:pPr>
    </w:p>
    <w:p>
      <w:pPr>
        <w:pStyle w:val="4"/>
        <w:keepNext w:val="0"/>
        <w:keepLines w:val="0"/>
        <w:pageBreakBefore w:val="0"/>
        <w:kinsoku/>
        <w:wordWrap/>
        <w:overflowPunct/>
        <w:topLinePunct w:val="0"/>
        <w:bidi w:val="0"/>
        <w:spacing w:line="440" w:lineRule="exact"/>
        <w:rPr>
          <w:color w:val="auto"/>
          <w:highlight w:val="none"/>
        </w:rPr>
      </w:pPr>
    </w:p>
    <w:p>
      <w:pPr>
        <w:keepNext w:val="0"/>
        <w:keepLines w:val="0"/>
        <w:pageBreakBefore w:val="0"/>
        <w:kinsoku/>
        <w:wordWrap/>
        <w:overflowPunct/>
        <w:topLinePunct w:val="0"/>
        <w:bidi w:val="0"/>
        <w:spacing w:line="440" w:lineRule="exact"/>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附表：</w:t>
      </w:r>
    </w:p>
    <w:p>
      <w:pPr>
        <w:spacing w:line="360" w:lineRule="auto"/>
        <w:jc w:val="center"/>
        <w:rPr>
          <w:rFonts w:hint="eastAsia" w:ascii="宋体" w:hAnsi="宋体"/>
          <w:color w:val="auto"/>
          <w:sz w:val="32"/>
          <w:szCs w:val="32"/>
        </w:rPr>
      </w:pPr>
      <w:r>
        <w:rPr>
          <w:rFonts w:hint="eastAsia" w:ascii="宋体" w:hAnsi="宋体"/>
          <w:color w:val="auto"/>
          <w:sz w:val="32"/>
          <w:szCs w:val="32"/>
        </w:rPr>
        <w:t>网上挂牌出让地块规划建设指标及挂牌起始价</w:t>
      </w:r>
    </w:p>
    <w:p>
      <w:pPr>
        <w:spacing w:line="360" w:lineRule="auto"/>
        <w:jc w:val="both"/>
        <w:rPr>
          <w:rFonts w:hint="eastAsia" w:ascii="宋体" w:hAnsi="宋体"/>
          <w:color w:val="auto"/>
          <w:sz w:val="32"/>
          <w:szCs w:val="32"/>
        </w:rPr>
      </w:pPr>
    </w:p>
    <w:tbl>
      <w:tblPr>
        <w:tblStyle w:val="9"/>
        <w:tblpPr w:leftFromText="180" w:rightFromText="180" w:vertAnchor="text" w:horzAnchor="page" w:tblpX="421" w:tblpY="263"/>
        <w:tblOverlap w:val="never"/>
        <w:tblW w:w="53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4"/>
        <w:gridCol w:w="1255"/>
        <w:gridCol w:w="915"/>
        <w:gridCol w:w="731"/>
        <w:gridCol w:w="876"/>
        <w:gridCol w:w="771"/>
        <w:gridCol w:w="785"/>
        <w:gridCol w:w="706"/>
        <w:gridCol w:w="771"/>
        <w:gridCol w:w="1307"/>
        <w:gridCol w:w="562"/>
        <w:gridCol w:w="929"/>
        <w:gridCol w:w="1594"/>
        <w:gridCol w:w="484"/>
        <w:gridCol w:w="666"/>
        <w:gridCol w:w="863"/>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3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挂牌地块</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41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土地</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位置</w:t>
            </w:r>
          </w:p>
        </w:tc>
        <w:tc>
          <w:tcPr>
            <w:tcW w:w="299"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用地编号</w:t>
            </w:r>
          </w:p>
        </w:tc>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土地用途</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宗地使用权面积（㎡）</w:t>
            </w:r>
          </w:p>
        </w:tc>
        <w:tc>
          <w:tcPr>
            <w:tcW w:w="2427" w:type="pct"/>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规划指标要求</w:t>
            </w:r>
          </w:p>
        </w:tc>
        <w:tc>
          <w:tcPr>
            <w:tcW w:w="158" w:type="pct"/>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出让</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年限</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w:t>
            </w:r>
          </w:p>
        </w:tc>
        <w:tc>
          <w:tcPr>
            <w:tcW w:w="21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挂牌起始价</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2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竞买</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保证金</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2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加价幅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度（万元）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99" w:type="pct"/>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计算指标用地面积（㎡）</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容积率</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建筑密度（%）</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绿地率（%）</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计容积率</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建筑高度（m）</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机动车停车位配建标准（个/100㎡）</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适建性</w:t>
            </w:r>
          </w:p>
          <w:p>
            <w:pPr>
              <w:pStyle w:val="2"/>
              <w:ind w:left="0" w:leftChars="0" w:firstLine="300" w:firstLineChars="100"/>
              <w:rPr>
                <w:rFonts w:hint="eastAsia"/>
                <w:lang w:val="en-US" w:eastAsia="zh-CN"/>
              </w:rPr>
            </w:pPr>
          </w:p>
        </w:tc>
        <w:tc>
          <w:tcPr>
            <w:tcW w:w="158" w:type="pct"/>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LM202</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平陵街道黄沙村</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LS1-02</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教育用地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86502.25</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86502.25</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sz w:val="21"/>
                <w:szCs w:val="21"/>
                <w:u w:val="none"/>
              </w:rPr>
              <w:t>1.</w:t>
            </w:r>
            <w:r>
              <w:rPr>
                <w:rFonts w:hint="eastAsia" w:ascii="宋体" w:hAnsi="宋体" w:cs="宋体"/>
                <w:b w:val="0"/>
                <w:bCs w:val="0"/>
                <w:i w:val="0"/>
                <w:iCs w:val="0"/>
                <w:color w:val="000000"/>
                <w:sz w:val="21"/>
                <w:szCs w:val="21"/>
                <w:u w:val="none"/>
                <w:lang w:val="en-US" w:eastAsia="zh-CN"/>
              </w:rPr>
              <w:t>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30</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≥30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5"/>
                <w:rFonts w:hint="default"/>
                <w:lang w:val="en-US" w:eastAsia="zh-CN" w:bidi="ar"/>
              </w:rPr>
            </w:pPr>
            <w:r>
              <w:rPr>
                <w:rFonts w:hint="eastAsia" w:ascii="宋体" w:hAnsi="宋体" w:cs="宋体"/>
                <w:b w:val="0"/>
                <w:bCs w:val="0"/>
                <w:i w:val="0"/>
                <w:iCs w:val="0"/>
                <w:color w:val="000000"/>
                <w:kern w:val="0"/>
                <w:sz w:val="21"/>
                <w:szCs w:val="21"/>
                <w:u w:val="none"/>
                <w:lang w:val="en-US" w:eastAsia="zh-CN" w:bidi="ar"/>
              </w:rPr>
              <w:t>≤86502.25</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kern w:val="0"/>
                <w:sz w:val="21"/>
                <w:szCs w:val="21"/>
                <w:u w:val="none"/>
                <w:lang w:val="en-US" w:eastAsia="zh-CN" w:bidi="ar"/>
              </w:rPr>
              <w:t>24</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3</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5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4542</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2271</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LM202</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惠州产业转移工业园</w:t>
            </w:r>
            <w:r>
              <w:rPr>
                <w:rFonts w:hint="eastAsia" w:ascii="宋体" w:hAnsi="宋体" w:cs="宋体"/>
                <w:i w:val="0"/>
                <w:iCs w:val="0"/>
                <w:color w:val="000000"/>
                <w:sz w:val="21"/>
                <w:szCs w:val="21"/>
                <w:u w:val="none"/>
                <w:lang w:val="en-US" w:eastAsia="zh-CN"/>
              </w:rPr>
              <w:t>南</w:t>
            </w:r>
            <w:r>
              <w:rPr>
                <w:rFonts w:hint="eastAsia" w:ascii="宋体" w:hAnsi="宋体" w:eastAsia="宋体" w:cs="宋体"/>
                <w:i w:val="0"/>
                <w:iCs w:val="0"/>
                <w:color w:val="000000"/>
                <w:sz w:val="21"/>
                <w:szCs w:val="21"/>
                <w:u w:val="none"/>
              </w:rPr>
              <w:t>片区</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PL-01-0604-03</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工业用地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10014.72</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10014.72</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rPr>
              <w:t>1.</w:t>
            </w:r>
            <w:r>
              <w:rPr>
                <w:rFonts w:hint="eastAsia" w:ascii="宋体" w:hAnsi="宋体" w:cs="宋体"/>
                <w:i w:val="0"/>
                <w:iCs w:val="0"/>
                <w:color w:val="000000"/>
                <w:sz w:val="21"/>
                <w:szCs w:val="21"/>
                <w:u w:val="none"/>
                <w:lang w:val="en-US" w:eastAsia="zh-CN"/>
              </w:rPr>
              <w:t>2-2.0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15-</w:t>
            </w:r>
            <w:r>
              <w:rPr>
                <w:rFonts w:hint="eastAsia" w:ascii="宋体" w:hAnsi="宋体" w:eastAsia="宋体" w:cs="宋体"/>
                <w:i w:val="0"/>
                <w:iCs w:val="0"/>
                <w:color w:val="000000"/>
                <w:sz w:val="21"/>
                <w:szCs w:val="21"/>
                <w:u w:val="none"/>
              </w:rPr>
              <w:t>20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5"/>
                <w:rFonts w:hint="default"/>
                <w:lang w:val="en-US" w:eastAsia="zh-CN" w:bidi="ar"/>
              </w:rPr>
            </w:pPr>
            <w:r>
              <w:rPr>
                <w:rStyle w:val="15"/>
                <w:rFonts w:hint="eastAsia"/>
                <w:lang w:val="en-US" w:eastAsia="zh-CN" w:bidi="ar"/>
              </w:rPr>
              <w:t>12017.13-20029.44</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行政办公及生活服务设施用地</w:t>
            </w:r>
            <w:r>
              <w:rPr>
                <w:rFonts w:hint="eastAsia" w:ascii="宋体" w:hAnsi="宋体" w:cs="宋体"/>
                <w:i w:val="0"/>
                <w:iCs w:val="0"/>
                <w:color w:val="000000"/>
                <w:kern w:val="0"/>
                <w:sz w:val="21"/>
                <w:szCs w:val="21"/>
                <w:u w:val="none"/>
                <w:lang w:val="en-US" w:eastAsia="zh-CN" w:bidi="ar"/>
              </w:rPr>
              <w:t>占总用地比重≤</w:t>
            </w:r>
            <w:r>
              <w:rPr>
                <w:rFonts w:hint="eastAsia" w:ascii="宋体" w:hAnsi="宋体" w:eastAsia="宋体" w:cs="宋体"/>
                <w:i w:val="0"/>
                <w:iCs w:val="0"/>
                <w:color w:val="000000"/>
                <w:kern w:val="0"/>
                <w:sz w:val="21"/>
                <w:szCs w:val="21"/>
                <w:u w:val="none"/>
                <w:lang w:val="en-US" w:eastAsia="zh-CN" w:bidi="ar"/>
              </w:rPr>
              <w:t>7%</w:t>
            </w:r>
            <w:r>
              <w:rPr>
                <w:rFonts w:hint="eastAsia" w:ascii="宋体" w:hAnsi="宋体" w:eastAsia="宋体" w:cs="宋体"/>
                <w:i w:val="0"/>
                <w:iCs w:val="0"/>
                <w:color w:val="000000"/>
                <w:sz w:val="21"/>
                <w:szCs w:val="21"/>
                <w:u w:val="none"/>
                <w:lang w:val="en-US" w:eastAsia="zh-CN"/>
              </w:rPr>
              <w:t>，且建筑面积不得超过项目总计容建筑面积的20</w:t>
            </w:r>
            <w:r>
              <w:rPr>
                <w:rFonts w:hint="eastAsia" w:ascii="宋体" w:hAnsi="宋体" w:eastAsia="宋体" w:cs="宋体"/>
                <w:i w:val="0"/>
                <w:iCs w:val="0"/>
                <w:color w:val="000000"/>
                <w:kern w:val="0"/>
                <w:sz w:val="21"/>
                <w:szCs w:val="21"/>
                <w:u w:val="none"/>
                <w:lang w:val="en-US" w:eastAsia="zh-CN" w:bidi="ar"/>
              </w:rPr>
              <w:t>%</w:t>
            </w:r>
          </w:p>
        </w:tc>
        <w:tc>
          <w:tcPr>
            <w:tcW w:w="15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408</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204</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LM202</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惠州产业转移工业园</w:t>
            </w:r>
            <w:r>
              <w:rPr>
                <w:rFonts w:hint="eastAsia" w:ascii="宋体" w:hAnsi="宋体" w:cs="宋体"/>
                <w:i w:val="0"/>
                <w:iCs w:val="0"/>
                <w:color w:val="000000"/>
                <w:sz w:val="21"/>
                <w:szCs w:val="21"/>
                <w:u w:val="none"/>
                <w:lang w:val="en-US" w:eastAsia="zh-CN"/>
              </w:rPr>
              <w:t>南片</w:t>
            </w:r>
            <w:r>
              <w:rPr>
                <w:rFonts w:hint="eastAsia" w:ascii="宋体" w:hAnsi="宋体" w:eastAsia="宋体" w:cs="宋体"/>
                <w:i w:val="0"/>
                <w:iCs w:val="0"/>
                <w:color w:val="000000"/>
                <w:sz w:val="21"/>
                <w:szCs w:val="21"/>
                <w:u w:val="none"/>
              </w:rPr>
              <w:t>区</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PL-01-0604-04</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工业用地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11790.28</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11790.28</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w:t>
            </w:r>
            <w:r>
              <w:rPr>
                <w:rFonts w:hint="eastAsia" w:ascii="宋体" w:hAnsi="宋体" w:cs="宋体"/>
                <w:i w:val="0"/>
                <w:iCs w:val="0"/>
                <w:color w:val="000000"/>
                <w:sz w:val="21"/>
                <w:szCs w:val="21"/>
                <w:u w:val="none"/>
                <w:lang w:val="en-US" w:eastAsia="zh-CN"/>
              </w:rPr>
              <w:t>2-2.0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15-</w:t>
            </w:r>
            <w:r>
              <w:rPr>
                <w:rFonts w:hint="eastAsia" w:ascii="宋体" w:hAnsi="宋体" w:eastAsia="宋体" w:cs="宋体"/>
                <w:i w:val="0"/>
                <w:iCs w:val="0"/>
                <w:color w:val="000000"/>
                <w:sz w:val="21"/>
                <w:szCs w:val="21"/>
                <w:u w:val="none"/>
              </w:rPr>
              <w:t>20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5"/>
                <w:rFonts w:hint="default"/>
                <w:lang w:val="en-US" w:eastAsia="zh-CN" w:bidi="ar"/>
              </w:rPr>
            </w:pPr>
            <w:r>
              <w:rPr>
                <w:rStyle w:val="15"/>
                <w:rFonts w:hint="eastAsia"/>
                <w:lang w:val="en-US" w:eastAsia="zh-CN" w:bidi="ar"/>
              </w:rPr>
              <w:t>14148.34-23580.56</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3</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行政办公及生活服务设施用地</w:t>
            </w:r>
            <w:r>
              <w:rPr>
                <w:rFonts w:hint="eastAsia" w:ascii="宋体" w:hAnsi="宋体" w:cs="宋体"/>
                <w:i w:val="0"/>
                <w:iCs w:val="0"/>
                <w:color w:val="000000"/>
                <w:kern w:val="0"/>
                <w:sz w:val="21"/>
                <w:szCs w:val="21"/>
                <w:u w:val="none"/>
                <w:lang w:val="en-US" w:eastAsia="zh-CN" w:bidi="ar"/>
              </w:rPr>
              <w:t>占总用地比重≤</w:t>
            </w:r>
            <w:r>
              <w:rPr>
                <w:rFonts w:hint="eastAsia" w:ascii="宋体" w:hAnsi="宋体" w:eastAsia="宋体" w:cs="宋体"/>
                <w:i w:val="0"/>
                <w:iCs w:val="0"/>
                <w:color w:val="000000"/>
                <w:kern w:val="0"/>
                <w:sz w:val="21"/>
                <w:szCs w:val="21"/>
                <w:u w:val="none"/>
                <w:lang w:val="en-US" w:eastAsia="zh-CN" w:bidi="ar"/>
              </w:rPr>
              <w:t>7%</w:t>
            </w:r>
            <w:r>
              <w:rPr>
                <w:rFonts w:hint="eastAsia" w:ascii="宋体" w:hAnsi="宋体" w:eastAsia="宋体" w:cs="宋体"/>
                <w:i w:val="0"/>
                <w:iCs w:val="0"/>
                <w:color w:val="000000"/>
                <w:sz w:val="21"/>
                <w:szCs w:val="21"/>
                <w:u w:val="none"/>
                <w:lang w:val="en-US" w:eastAsia="zh-CN"/>
              </w:rPr>
              <w:t>，且建筑面积不得超过项目总计容建筑面积的20</w:t>
            </w:r>
            <w:r>
              <w:rPr>
                <w:rFonts w:hint="eastAsia" w:ascii="宋体" w:hAnsi="宋体" w:eastAsia="宋体" w:cs="宋体"/>
                <w:i w:val="0"/>
                <w:iCs w:val="0"/>
                <w:color w:val="000000"/>
                <w:kern w:val="0"/>
                <w:sz w:val="21"/>
                <w:szCs w:val="21"/>
                <w:u w:val="none"/>
                <w:lang w:val="en-US" w:eastAsia="zh-CN" w:bidi="ar"/>
              </w:rPr>
              <w:t>%</w:t>
            </w:r>
          </w:p>
        </w:tc>
        <w:tc>
          <w:tcPr>
            <w:tcW w:w="15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480</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240</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LM202</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惠州产业转移工业园</w:t>
            </w:r>
            <w:r>
              <w:rPr>
                <w:rFonts w:hint="eastAsia" w:ascii="宋体" w:hAnsi="宋体" w:cs="宋体"/>
                <w:i w:val="0"/>
                <w:iCs w:val="0"/>
                <w:color w:val="000000"/>
                <w:sz w:val="21"/>
                <w:szCs w:val="21"/>
                <w:u w:val="none"/>
                <w:lang w:val="en-US" w:eastAsia="zh-CN"/>
              </w:rPr>
              <w:t>北</w:t>
            </w:r>
            <w:r>
              <w:rPr>
                <w:rFonts w:hint="eastAsia" w:ascii="宋体" w:hAnsi="宋体" w:eastAsia="宋体" w:cs="宋体"/>
                <w:i w:val="0"/>
                <w:iCs w:val="0"/>
                <w:color w:val="000000"/>
                <w:sz w:val="21"/>
                <w:szCs w:val="21"/>
                <w:u w:val="none"/>
              </w:rPr>
              <w:t>片区</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JS5-18-03</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工业用地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20011.01</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20011.01</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1.6-2.5</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15-20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5"/>
                <w:rFonts w:hint="default"/>
                <w:lang w:val="en-US" w:eastAsia="zh-CN" w:bidi="ar"/>
              </w:rPr>
            </w:pPr>
            <w:r>
              <w:rPr>
                <w:rStyle w:val="15"/>
                <w:rFonts w:hint="eastAsia"/>
                <w:lang w:val="en-US" w:eastAsia="zh-CN" w:bidi="ar"/>
              </w:rPr>
              <w:t>32017.62-50027.53</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3</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行政办公及生活服务设施用地</w:t>
            </w:r>
            <w:r>
              <w:rPr>
                <w:rFonts w:hint="eastAsia" w:ascii="宋体" w:hAnsi="宋体" w:cs="宋体"/>
                <w:i w:val="0"/>
                <w:iCs w:val="0"/>
                <w:color w:val="000000"/>
                <w:kern w:val="0"/>
                <w:sz w:val="21"/>
                <w:szCs w:val="21"/>
                <w:u w:val="none"/>
                <w:lang w:val="en-US" w:eastAsia="zh-CN" w:bidi="ar"/>
              </w:rPr>
              <w:t>不得超过项目用地面积的</w:t>
            </w:r>
            <w:r>
              <w:rPr>
                <w:rFonts w:hint="eastAsia" w:ascii="宋体" w:hAnsi="宋体" w:eastAsia="宋体" w:cs="宋体"/>
                <w:i w:val="0"/>
                <w:iCs w:val="0"/>
                <w:color w:val="000000"/>
                <w:sz w:val="21"/>
                <w:szCs w:val="21"/>
                <w:u w:val="none"/>
                <w:lang w:val="en-US" w:eastAsia="zh-CN"/>
              </w:rPr>
              <w:t>7</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sz w:val="21"/>
                <w:szCs w:val="21"/>
                <w:u w:val="none"/>
                <w:lang w:val="en-US" w:eastAsia="zh-CN"/>
              </w:rPr>
              <w:t>，且建筑面积不得超过项目总计容建筑面积的20</w:t>
            </w:r>
            <w:r>
              <w:rPr>
                <w:rFonts w:hint="eastAsia" w:ascii="宋体" w:hAnsi="宋体" w:eastAsia="宋体" w:cs="宋体"/>
                <w:i w:val="0"/>
                <w:iCs w:val="0"/>
                <w:color w:val="000000"/>
                <w:kern w:val="0"/>
                <w:sz w:val="21"/>
                <w:szCs w:val="21"/>
                <w:u w:val="none"/>
                <w:lang w:val="en-US" w:eastAsia="zh-CN" w:bidi="ar"/>
              </w:rPr>
              <w:t>%</w:t>
            </w:r>
          </w:p>
        </w:tc>
        <w:tc>
          <w:tcPr>
            <w:tcW w:w="15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961</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480.5</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r>
    </w:tbl>
    <w:p>
      <w:pPr>
        <w:pStyle w:val="4"/>
        <w:keepNext w:val="0"/>
        <w:keepLines w:val="0"/>
        <w:pageBreakBefore w:val="0"/>
        <w:kinsoku/>
        <w:wordWrap/>
        <w:overflowPunct/>
        <w:topLinePunct w:val="0"/>
        <w:autoSpaceDN/>
        <w:bidi w:val="0"/>
        <w:adjustRightInd/>
        <w:spacing w:line="440" w:lineRule="exact"/>
        <w:ind w:left="0" w:leftChars="0" w:firstLine="0" w:firstLineChars="0"/>
        <w:textAlignment w:val="auto"/>
        <w:rPr>
          <w:rFonts w:hint="eastAsia" w:ascii="仿宋" w:hAnsi="仿宋" w:eastAsia="仿宋" w:cs="仿宋"/>
          <w:b w:val="0"/>
          <w:bCs w:val="0"/>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D82C"/>
    <w:multiLevelType w:val="singleLevel"/>
    <w:tmpl w:val="8B5BD82C"/>
    <w:lvl w:ilvl="0" w:tentative="0">
      <w:start w:val="1"/>
      <w:numFmt w:val="chineseCounting"/>
      <w:suff w:val="nothing"/>
      <w:lvlText w:val="（%1）"/>
      <w:lvlJc w:val="left"/>
      <w:pPr>
        <w:ind w:left="-45"/>
      </w:pPr>
      <w:rPr>
        <w:rFonts w:hint="eastAsia"/>
      </w:rPr>
    </w:lvl>
  </w:abstractNum>
  <w:abstractNum w:abstractNumId="1">
    <w:nsid w:val="A6218609"/>
    <w:multiLevelType w:val="singleLevel"/>
    <w:tmpl w:val="A6218609"/>
    <w:lvl w:ilvl="0" w:tentative="0">
      <w:start w:val="1"/>
      <w:numFmt w:val="chineseCounting"/>
      <w:suff w:val="nothing"/>
      <w:lvlText w:val="（%1）"/>
      <w:lvlJc w:val="left"/>
      <w:rPr>
        <w:rFonts w:hint="eastAsia"/>
      </w:rPr>
    </w:lvl>
  </w:abstractNum>
  <w:abstractNum w:abstractNumId="2">
    <w:nsid w:val="0904E1E0"/>
    <w:multiLevelType w:val="singleLevel"/>
    <w:tmpl w:val="0904E1E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ZTVjMTRiNzM1Yjc5ZTk3ZjI5M2E3NzRjYzk5YTIifQ=="/>
  </w:docVars>
  <w:rsids>
    <w:rsidRoot w:val="006F43B4"/>
    <w:rsid w:val="00055381"/>
    <w:rsid w:val="00156890"/>
    <w:rsid w:val="00291F43"/>
    <w:rsid w:val="003846E2"/>
    <w:rsid w:val="003D7B27"/>
    <w:rsid w:val="00502E7E"/>
    <w:rsid w:val="00593588"/>
    <w:rsid w:val="00626965"/>
    <w:rsid w:val="00651A33"/>
    <w:rsid w:val="006F43B4"/>
    <w:rsid w:val="00723053"/>
    <w:rsid w:val="008D4A14"/>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0F63C38"/>
    <w:rsid w:val="012F32FC"/>
    <w:rsid w:val="01E50B50"/>
    <w:rsid w:val="039F6E44"/>
    <w:rsid w:val="049F7D86"/>
    <w:rsid w:val="04AA17FE"/>
    <w:rsid w:val="067362EB"/>
    <w:rsid w:val="09402008"/>
    <w:rsid w:val="0AE876EE"/>
    <w:rsid w:val="0B1A7CC0"/>
    <w:rsid w:val="0DD737A7"/>
    <w:rsid w:val="0E1D2DC4"/>
    <w:rsid w:val="0E2071F3"/>
    <w:rsid w:val="0E2C2AB5"/>
    <w:rsid w:val="101713C8"/>
    <w:rsid w:val="102713DB"/>
    <w:rsid w:val="10F56E66"/>
    <w:rsid w:val="110903F6"/>
    <w:rsid w:val="11871C18"/>
    <w:rsid w:val="12D666E0"/>
    <w:rsid w:val="13055F11"/>
    <w:rsid w:val="13DC2CB8"/>
    <w:rsid w:val="14FF4827"/>
    <w:rsid w:val="1635589D"/>
    <w:rsid w:val="163663DF"/>
    <w:rsid w:val="166F2BF1"/>
    <w:rsid w:val="1794192C"/>
    <w:rsid w:val="17EA1735"/>
    <w:rsid w:val="187E669C"/>
    <w:rsid w:val="188B2794"/>
    <w:rsid w:val="19C257C0"/>
    <w:rsid w:val="1A31098E"/>
    <w:rsid w:val="1B261919"/>
    <w:rsid w:val="1B2A00D1"/>
    <w:rsid w:val="1B3B78EC"/>
    <w:rsid w:val="1BE73F47"/>
    <w:rsid w:val="1C9A1178"/>
    <w:rsid w:val="1D097D20"/>
    <w:rsid w:val="1E904230"/>
    <w:rsid w:val="1F105F15"/>
    <w:rsid w:val="1FB504FE"/>
    <w:rsid w:val="1FFA383F"/>
    <w:rsid w:val="222A162B"/>
    <w:rsid w:val="224E20DB"/>
    <w:rsid w:val="22937891"/>
    <w:rsid w:val="24610AB5"/>
    <w:rsid w:val="250733D2"/>
    <w:rsid w:val="279A39F8"/>
    <w:rsid w:val="27BC0E8D"/>
    <w:rsid w:val="285B64DE"/>
    <w:rsid w:val="29C55868"/>
    <w:rsid w:val="29E1316E"/>
    <w:rsid w:val="29F80FE7"/>
    <w:rsid w:val="2A473C52"/>
    <w:rsid w:val="2B773392"/>
    <w:rsid w:val="2CC9567C"/>
    <w:rsid w:val="2CD27F6C"/>
    <w:rsid w:val="2D930E3D"/>
    <w:rsid w:val="2F220213"/>
    <w:rsid w:val="2F442A87"/>
    <w:rsid w:val="2F841177"/>
    <w:rsid w:val="30134210"/>
    <w:rsid w:val="31575D41"/>
    <w:rsid w:val="31D86DCF"/>
    <w:rsid w:val="34013B56"/>
    <w:rsid w:val="355D5FD5"/>
    <w:rsid w:val="364058FF"/>
    <w:rsid w:val="36B610CD"/>
    <w:rsid w:val="37723635"/>
    <w:rsid w:val="38FE4822"/>
    <w:rsid w:val="3A2953C0"/>
    <w:rsid w:val="3A5C1E5A"/>
    <w:rsid w:val="3B34068A"/>
    <w:rsid w:val="3B694D14"/>
    <w:rsid w:val="3B905E2B"/>
    <w:rsid w:val="3B9610F4"/>
    <w:rsid w:val="3BB71C2D"/>
    <w:rsid w:val="3BD038FF"/>
    <w:rsid w:val="3BD61A36"/>
    <w:rsid w:val="3D152C6B"/>
    <w:rsid w:val="3EA37E97"/>
    <w:rsid w:val="3EB968CD"/>
    <w:rsid w:val="3EC318D5"/>
    <w:rsid w:val="3EC82FB3"/>
    <w:rsid w:val="3F142B57"/>
    <w:rsid w:val="3F1A7FAA"/>
    <w:rsid w:val="3F3E0AB4"/>
    <w:rsid w:val="3F984213"/>
    <w:rsid w:val="3F9F1F66"/>
    <w:rsid w:val="402B776A"/>
    <w:rsid w:val="420A51B3"/>
    <w:rsid w:val="428E2D29"/>
    <w:rsid w:val="43D3409E"/>
    <w:rsid w:val="44A86E9A"/>
    <w:rsid w:val="45696BDB"/>
    <w:rsid w:val="465B0945"/>
    <w:rsid w:val="48526CD7"/>
    <w:rsid w:val="486B4F45"/>
    <w:rsid w:val="48AD19E8"/>
    <w:rsid w:val="49956A4F"/>
    <w:rsid w:val="49B303BC"/>
    <w:rsid w:val="4A730934"/>
    <w:rsid w:val="4C3E0A00"/>
    <w:rsid w:val="4CA65793"/>
    <w:rsid w:val="4D0F3BE0"/>
    <w:rsid w:val="4D8A139E"/>
    <w:rsid w:val="4EA93B43"/>
    <w:rsid w:val="4F42590E"/>
    <w:rsid w:val="4F7A44ED"/>
    <w:rsid w:val="4F9358A7"/>
    <w:rsid w:val="4FB870F0"/>
    <w:rsid w:val="5004570C"/>
    <w:rsid w:val="508C5CA4"/>
    <w:rsid w:val="50C44115"/>
    <w:rsid w:val="50C65541"/>
    <w:rsid w:val="50C67C69"/>
    <w:rsid w:val="52146C75"/>
    <w:rsid w:val="523F6E00"/>
    <w:rsid w:val="52EC3EDC"/>
    <w:rsid w:val="5316652D"/>
    <w:rsid w:val="53BD4A78"/>
    <w:rsid w:val="54A67235"/>
    <w:rsid w:val="55C0458D"/>
    <w:rsid w:val="58D008AE"/>
    <w:rsid w:val="59B92E76"/>
    <w:rsid w:val="5B6D2AC1"/>
    <w:rsid w:val="5B745643"/>
    <w:rsid w:val="5C71213D"/>
    <w:rsid w:val="5C8578BA"/>
    <w:rsid w:val="5CD9542F"/>
    <w:rsid w:val="5EB43F13"/>
    <w:rsid w:val="5F28567D"/>
    <w:rsid w:val="5F300F59"/>
    <w:rsid w:val="5FCF5D35"/>
    <w:rsid w:val="5FE14082"/>
    <w:rsid w:val="602264F2"/>
    <w:rsid w:val="616B0C9C"/>
    <w:rsid w:val="62844F25"/>
    <w:rsid w:val="62D13935"/>
    <w:rsid w:val="635A435F"/>
    <w:rsid w:val="6621372E"/>
    <w:rsid w:val="6838006B"/>
    <w:rsid w:val="683F3018"/>
    <w:rsid w:val="684568B6"/>
    <w:rsid w:val="688F22C8"/>
    <w:rsid w:val="68BD0B09"/>
    <w:rsid w:val="68CD7763"/>
    <w:rsid w:val="6A4F4329"/>
    <w:rsid w:val="6AF12B3E"/>
    <w:rsid w:val="6C2962AE"/>
    <w:rsid w:val="6C826573"/>
    <w:rsid w:val="6C8919B8"/>
    <w:rsid w:val="6CC65636"/>
    <w:rsid w:val="6CE76051"/>
    <w:rsid w:val="6E914841"/>
    <w:rsid w:val="6EB1052D"/>
    <w:rsid w:val="71576811"/>
    <w:rsid w:val="71B67D83"/>
    <w:rsid w:val="71CF0BED"/>
    <w:rsid w:val="71D66846"/>
    <w:rsid w:val="723C3332"/>
    <w:rsid w:val="726873F0"/>
    <w:rsid w:val="729D59B3"/>
    <w:rsid w:val="731759FD"/>
    <w:rsid w:val="734164C7"/>
    <w:rsid w:val="746E7275"/>
    <w:rsid w:val="751A7E63"/>
    <w:rsid w:val="769D02A6"/>
    <w:rsid w:val="769E7B7B"/>
    <w:rsid w:val="76AC6A44"/>
    <w:rsid w:val="77852CA3"/>
    <w:rsid w:val="778B6418"/>
    <w:rsid w:val="779A0D22"/>
    <w:rsid w:val="79D044EF"/>
    <w:rsid w:val="7A436452"/>
    <w:rsid w:val="7A6A3136"/>
    <w:rsid w:val="7AFD1570"/>
    <w:rsid w:val="7B6E62FB"/>
    <w:rsid w:val="7BB44569"/>
    <w:rsid w:val="7CFD5584"/>
    <w:rsid w:val="7D810E5F"/>
    <w:rsid w:val="7D84768B"/>
    <w:rsid w:val="7DA912DF"/>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1"/>
    <w:basedOn w:val="1"/>
    <w:next w:val="3"/>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qFormat/>
    <w:uiPriority w:val="0"/>
    <w:pPr>
      <w:spacing w:after="120" w:line="480" w:lineRule="auto"/>
      <w:ind w:left="420" w:leftChars="200"/>
    </w:p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page number"/>
    <w:basedOn w:val="10"/>
    <w:qFormat/>
    <w:uiPriority w:val="0"/>
  </w:style>
  <w:style w:type="paragraph" w:customStyle="1" w:styleId="12">
    <w:name w:val="批注文字 New New"/>
    <w:basedOn w:val="1"/>
    <w:qFormat/>
    <w:uiPriority w:val="0"/>
    <w:pPr>
      <w:jc w:val="left"/>
    </w:pPr>
    <w:rPr>
      <w:szCs w:val="20"/>
    </w:rPr>
  </w:style>
  <w:style w:type="character" w:customStyle="1" w:styleId="13">
    <w:name w:val="页眉 Char"/>
    <w:basedOn w:val="10"/>
    <w:link w:val="7"/>
    <w:semiHidden/>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font0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4116</Words>
  <Characters>4670</Characters>
  <Lines>27</Lines>
  <Paragraphs>7</Paragraphs>
  <TotalTime>3</TotalTime>
  <ScaleCrop>false</ScaleCrop>
  <LinksUpToDate>false</LinksUpToDate>
  <CharactersWithSpaces>4725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佐宇</cp:lastModifiedBy>
  <cp:lastPrinted>2023-03-18T01:59:00Z</cp:lastPrinted>
  <dcterms:modified xsi:type="dcterms:W3CDTF">2023-03-18T08:34:24Z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5F9060615448417CB87E3E380ABC24CC</vt:lpwstr>
  </property>
</Properties>
</file>