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440" w:lineRule="exact"/>
        <w:jc w:val="center"/>
        <w:rPr>
          <w:rFonts w:hint="eastAsia" w:ascii="方正小标宋简体" w:hAnsi="方正小标宋简体" w:eastAsia="方正小标宋简体" w:cs="方正小标宋简体"/>
          <w:b w:val="0"/>
          <w:bCs w:val="0"/>
          <w:color w:val="auto"/>
          <w:spacing w:val="3"/>
          <w:sz w:val="44"/>
          <w:szCs w:val="44"/>
          <w:highlight w:val="none"/>
        </w:rPr>
      </w:pPr>
      <w:r>
        <w:rPr>
          <w:rFonts w:hint="eastAsia" w:ascii="方正小标宋简体" w:hAnsi="方正小标宋简体" w:eastAsia="方正小标宋简体" w:cs="方正小标宋简体"/>
          <w:b w:val="0"/>
          <w:bCs w:val="0"/>
          <w:color w:val="auto"/>
          <w:spacing w:val="3"/>
          <w:sz w:val="44"/>
          <w:szCs w:val="44"/>
          <w:highlight w:val="none"/>
        </w:rPr>
        <w:t>惠州市</w:t>
      </w:r>
      <w:r>
        <w:rPr>
          <w:rFonts w:hint="eastAsia" w:ascii="方正小标宋简体" w:hAnsi="方正小标宋简体" w:eastAsia="方正小标宋简体" w:cs="方正小标宋简体"/>
          <w:b w:val="0"/>
          <w:bCs w:val="0"/>
          <w:color w:val="auto"/>
          <w:spacing w:val="3"/>
          <w:sz w:val="44"/>
          <w:szCs w:val="44"/>
          <w:highlight w:val="none"/>
          <w:lang w:eastAsia="zh-CN"/>
        </w:rPr>
        <w:t>龙门县</w:t>
      </w:r>
      <w:r>
        <w:rPr>
          <w:rFonts w:hint="eastAsia" w:ascii="方正小标宋简体" w:hAnsi="方正小标宋简体" w:eastAsia="方正小标宋简体" w:cs="方正小标宋简体"/>
          <w:b w:val="0"/>
          <w:bCs w:val="0"/>
          <w:color w:val="auto"/>
          <w:spacing w:val="3"/>
          <w:sz w:val="44"/>
          <w:szCs w:val="44"/>
          <w:highlight w:val="none"/>
        </w:rPr>
        <w:t>国有建设用地使用权</w:t>
      </w:r>
    </w:p>
    <w:p>
      <w:pPr>
        <w:keepNext w:val="0"/>
        <w:keepLines w:val="0"/>
        <w:pageBreakBefore w:val="0"/>
        <w:tabs>
          <w:tab w:val="left" w:pos="11340"/>
        </w:tabs>
        <w:kinsoku/>
        <w:wordWrap/>
        <w:overflowPunct/>
        <w:topLinePunct w:val="0"/>
        <w:bidi w:val="0"/>
        <w:spacing w:line="440" w:lineRule="exact"/>
        <w:ind w:left="4018" w:hanging="4014" w:hangingChars="90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3"/>
          <w:sz w:val="44"/>
          <w:szCs w:val="44"/>
          <w:highlight w:val="none"/>
        </w:rPr>
        <w:t>网上挂牌</w:t>
      </w:r>
      <w:r>
        <w:rPr>
          <w:rFonts w:hint="eastAsia" w:ascii="方正小标宋简体" w:hAnsi="方正小标宋简体" w:eastAsia="方正小标宋简体" w:cs="方正小标宋简体"/>
          <w:b w:val="0"/>
          <w:bCs w:val="0"/>
          <w:color w:val="auto"/>
          <w:sz w:val="44"/>
          <w:szCs w:val="44"/>
          <w:highlight w:val="none"/>
        </w:rPr>
        <w:t>出让公告</w:t>
      </w:r>
    </w:p>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龙自然资挂</w:t>
      </w:r>
      <w:r>
        <w:rPr>
          <w:rFonts w:hint="eastAsia" w:ascii="仿宋_GB2312" w:hAnsi="仿宋_GB2312" w:eastAsia="仿宋_GB2312" w:cs="仿宋_GB2312"/>
          <w:b w:val="0"/>
          <w:bCs w:val="0"/>
          <w:color w:val="auto"/>
          <w:sz w:val="32"/>
          <w:szCs w:val="32"/>
          <w:highlight w:val="none"/>
          <w:lang w:eastAsia="zh-CN"/>
        </w:rPr>
        <w:t>﹝2022﹞</w:t>
      </w:r>
      <w:r>
        <w:rPr>
          <w:rFonts w:hint="eastAsia" w:ascii="仿宋_GB2312" w:hAnsi="仿宋_GB2312" w:eastAsia="仿宋_GB2312" w:cs="仿宋_GB2312"/>
          <w:b w:val="0"/>
          <w:bCs w:val="0"/>
          <w:color w:val="auto"/>
          <w:sz w:val="32"/>
          <w:szCs w:val="32"/>
          <w:highlight w:val="none"/>
          <w:lang w:val="en-US" w:eastAsia="zh-CN"/>
        </w:rPr>
        <w:t>004</w:t>
      </w:r>
      <w:r>
        <w:rPr>
          <w:rFonts w:hint="eastAsia" w:ascii="仿宋_GB2312" w:hAnsi="仿宋_GB2312" w:eastAsia="仿宋_GB2312" w:cs="仿宋_GB2312"/>
          <w:b w:val="0"/>
          <w:bCs w:val="0"/>
          <w:color w:val="auto"/>
          <w:sz w:val="32"/>
          <w:szCs w:val="32"/>
          <w:highlight w:val="none"/>
          <w:lang w:eastAsia="zh-CN"/>
        </w:rPr>
        <w:t>号</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根据《招标拍卖挂牌出让国有建设用地使用权规定》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国土资源部令第39号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和《广东省土地使用权交易市场管理规定》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广东省人民政府令第79号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的规定，经批准，</w:t>
      </w:r>
      <w:r>
        <w:rPr>
          <w:rFonts w:hint="eastAsia" w:ascii="仿宋_GB2312" w:hAnsi="仿宋_GB2312" w:eastAsia="仿宋_GB2312" w:cs="仿宋_GB2312"/>
          <w:b w:val="0"/>
          <w:bCs w:val="0"/>
          <w:color w:val="auto"/>
          <w:sz w:val="32"/>
          <w:szCs w:val="32"/>
          <w:highlight w:val="none"/>
          <w:lang w:eastAsia="zh-CN"/>
        </w:rPr>
        <w:t>我</w:t>
      </w:r>
      <w:r>
        <w:rPr>
          <w:rFonts w:hint="eastAsia" w:ascii="仿宋_GB2312" w:hAnsi="仿宋_GB2312" w:eastAsia="仿宋_GB2312" w:cs="仿宋_GB2312"/>
          <w:b w:val="0"/>
          <w:bCs w:val="0"/>
          <w:color w:val="auto"/>
          <w:sz w:val="32"/>
          <w:szCs w:val="32"/>
          <w:highlight w:val="none"/>
        </w:rPr>
        <w:t>局决定以网上挂牌方式公开出让下列国有建设用地使用权。现将有关事项公告如下：</w:t>
      </w:r>
    </w:p>
    <w:p>
      <w:pPr>
        <w:keepNext w:val="0"/>
        <w:keepLines w:val="0"/>
        <w:pageBreakBefore w:val="0"/>
        <w:numPr>
          <w:ilvl w:val="0"/>
          <w:numId w:val="1"/>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1"/>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挂牌起始价及加价幅度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见附表</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三、时间安排</w:t>
      </w:r>
    </w:p>
    <w:p>
      <w:pPr>
        <w:pStyle w:val="4"/>
        <w:keepNext w:val="0"/>
        <w:keepLines w:val="0"/>
        <w:pageBreakBefore w:val="0"/>
        <w:kinsoku/>
        <w:wordWrap/>
        <w:overflowPunct/>
        <w:topLinePunct w:val="0"/>
        <w:autoSpaceDE/>
        <w:autoSpaceDN/>
        <w:bidi w:val="0"/>
        <w:spacing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（一）公告时间：</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25</w:t>
      </w:r>
      <w:r>
        <w:rPr>
          <w:rFonts w:hint="eastAsia" w:ascii="仿宋_GB2312" w:hAnsi="仿宋_GB2312" w:eastAsia="仿宋_GB2312" w:cs="仿宋_GB2312"/>
          <w:b w:val="0"/>
          <w:bCs w:val="0"/>
          <w:color w:val="auto"/>
          <w:sz w:val="32"/>
          <w:szCs w:val="32"/>
          <w:highlight w:val="none"/>
        </w:rPr>
        <w:t>日至</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14</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（二）网上挂牌竞买时间：</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15</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时至</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29</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竞买保证金到账截止时间为：</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12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29</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四、竞买资格及要求</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中华人民共和国境内外的法人、自然人和其他组织，符合竞买资格条件的,均可通过网上挂牌交易系统，申请参加电子挂牌交易活动，法律、法规另有规定的从其规定。</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szCs w:val="32"/>
          <w:highlight w:val="none"/>
        </w:rPr>
        <w:t>（一）交纳足额竞买保证金；</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（二）存在下列行为之一的企业及其控股股东，不得参与竞买上述地块：</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伪造公文骗取用地行为；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非法转让土地使用权行为；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因企业原因造成土地闲置一年以上且至报名日止未处理完结；</w:t>
      </w:r>
    </w:p>
    <w:p>
      <w:pPr>
        <w:pStyle w:val="8"/>
        <w:keepNext w:val="0"/>
        <w:keepLines w:val="0"/>
        <w:pageBreakBefore w:val="0"/>
        <w:widowControl/>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4.未按出让合同约定条件开发利用土地且至报名日止未处理完结；</w:t>
      </w:r>
    </w:p>
    <w:p>
      <w:pPr>
        <w:pStyle w:val="8"/>
        <w:keepNext w:val="0"/>
        <w:keepLines w:val="0"/>
        <w:pageBreakBefore w:val="0"/>
        <w:widowControl/>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5.至报名日止仍拖欠政府地价款。</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szCs w:val="32"/>
          <w:highlight w:val="none"/>
          <w:lang w:val="en-US" w:eastAsia="zh-CN"/>
        </w:rPr>
        <w:t>五、</w:t>
      </w:r>
      <w:r>
        <w:rPr>
          <w:rFonts w:hint="eastAsia" w:ascii="仿宋_GB2312" w:hAnsi="仿宋_GB2312" w:eastAsia="仿宋_GB2312" w:cs="仿宋_GB2312"/>
          <w:b w:val="0"/>
          <w:bCs w:val="0"/>
          <w:color w:val="auto"/>
          <w:szCs w:val="32"/>
          <w:highlight w:val="none"/>
        </w:rPr>
        <w:t>竞买保证金</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仿宋_GB2312" w:hAnsi="仿宋_GB2312" w:eastAsia="仿宋_GB2312" w:cs="仿宋_GB2312"/>
          <w:b w:val="0"/>
          <w:bCs w:val="0"/>
          <w:color w:val="auto"/>
          <w:szCs w:val="32"/>
          <w:highlight w:val="none"/>
          <w:lang w:val="en-US" w:eastAsia="zh-CN"/>
        </w:rPr>
      </w:pPr>
      <w:r>
        <w:rPr>
          <w:rFonts w:hint="eastAsia" w:ascii="仿宋_GB2312" w:hAnsi="仿宋_GB2312" w:eastAsia="仿宋_GB2312" w:cs="仿宋_GB2312"/>
          <w:b w:val="0"/>
          <w:bCs w:val="0"/>
          <w:color w:val="auto"/>
          <w:szCs w:val="32"/>
          <w:highlight w:val="none"/>
          <w:lang w:val="en-US" w:eastAsia="zh-CN"/>
        </w:rPr>
        <w:t>（一）</w:t>
      </w:r>
      <w:r>
        <w:rPr>
          <w:rFonts w:hint="eastAsia" w:hAnsi="仿宋_GB2312" w:cs="仿宋_GB2312"/>
          <w:b w:val="0"/>
          <w:bCs w:val="0"/>
          <w:color w:val="auto"/>
          <w:szCs w:val="32"/>
          <w:highlight w:val="none"/>
          <w:lang w:val="en-US" w:eastAsia="zh-CN"/>
        </w:rPr>
        <w:t>本公告地块竞买保证金详见附表</w:t>
      </w:r>
      <w:r>
        <w:rPr>
          <w:rFonts w:hint="eastAsia" w:ascii="仿宋_GB2312" w:hAnsi="仿宋_GB2312" w:eastAsia="仿宋_GB2312" w:cs="仿宋_GB2312"/>
          <w:b w:val="0"/>
          <w:bCs w:val="0"/>
          <w:color w:val="auto"/>
          <w:szCs w:val="32"/>
          <w:highlight w:val="none"/>
          <w:lang w:val="en-US" w:eastAsia="zh-CN"/>
        </w:rPr>
        <w:t>。</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（二）</w:t>
      </w:r>
      <w:r>
        <w:rPr>
          <w:rFonts w:hint="eastAsia" w:ascii="仿宋_GB2312" w:hAnsi="仿宋_GB2312" w:eastAsia="仿宋_GB2312" w:cs="仿宋_GB2312"/>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w:t>
      </w:r>
      <w:r>
        <w:rPr>
          <w:rFonts w:hint="eastAsia" w:ascii="仿宋_GB2312" w:hAnsi="仿宋_GB2312" w:eastAsia="仿宋_GB2312" w:cs="仿宋_GB2312"/>
          <w:i w:val="0"/>
          <w:iCs w:val="0"/>
          <w:caps w:val="0"/>
          <w:color w:val="333333"/>
          <w:spacing w:val="0"/>
          <w:sz w:val="31"/>
          <w:szCs w:val="31"/>
          <w:shd w:val="clear" w:fill="FFFFFF"/>
        </w:rPr>
        <w:t>，网址：https://www.hzgtjy.com/</w:t>
      </w:r>
      <w:r>
        <w:rPr>
          <w:rFonts w:hint="eastAsia" w:ascii="仿宋_GB2312" w:hAnsi="仿宋_GB2312" w:eastAsia="仿宋_GB2312" w:cs="仿宋_GB2312"/>
          <w:b w:val="0"/>
          <w:bCs w:val="0"/>
          <w:color w:val="auto"/>
          <w:sz w:val="32"/>
          <w:szCs w:val="32"/>
          <w:highlight w:val="none"/>
        </w:rPr>
        <w:t>）获取竞买保证金支付账号。</w:t>
      </w:r>
    </w:p>
    <w:p>
      <w:pPr>
        <w:keepNext w:val="0"/>
        <w:keepLines w:val="0"/>
        <w:pageBreakBefore w:val="0"/>
        <w:numPr>
          <w:ilvl w:val="0"/>
          <w:numId w:val="0"/>
        </w:numPr>
        <w:kinsoku/>
        <w:wordWrap/>
        <w:overflowPunct/>
        <w:topLinePunct w:val="0"/>
        <w:autoSpaceDE/>
        <w:autoSpaceDN/>
        <w:bidi w:val="0"/>
        <w:spacing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可以单独申请，也可以联合申请。</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单独申请竞买的，竞买申请人为非本县注册登记的企业，在竞得土地后，必须于2个月内在本县市场监督管理部门注册成立项目开发公司，并以该公司名义办理土地出让与登记发证手续。新成立公司必须是竞得人的全资子公司，即新公司的股东必须100%是竞买申请企业作为法人的股东。根据挂牌出让结果，可先与竞得人签订《国有建设用地使用权出让合同》</w:t>
      </w:r>
      <w:r>
        <w:rPr>
          <w:rFonts w:hint="eastAsia" w:ascii="Times New Roman" w:hAnsi="Times New Roman" w:eastAsia="方正仿宋_GBK" w:cs="Times New Roman"/>
          <w:color w:val="auto"/>
          <w:sz w:val="32"/>
          <w:szCs w:val="32"/>
        </w:rPr>
        <w:t>（以下简称《出让合同》）</w:t>
      </w:r>
      <w:r>
        <w:rPr>
          <w:rFonts w:hint="eastAsia" w:ascii="仿宋_GB2312" w:hAnsi="仿宋_GB2312" w:eastAsia="仿宋_GB2312" w:cs="仿宋_GB2312"/>
          <w:kern w:val="0"/>
          <w:sz w:val="32"/>
          <w:szCs w:val="32"/>
          <w:lang w:val="en-US" w:eastAsia="zh-CN" w:bidi="ar-SA"/>
        </w:rPr>
        <w:t>，在竞得人按约定办理完新公司注册登记手续后，再与新公司签订《国有建设用地使用权出让合同变更协议》；也可按约定直接与新公司签订《出让合同》。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kern w:val="0"/>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县市场监督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kinsoku/>
        <w:wordWrap/>
        <w:overflowPunct/>
        <w:topLinePunct w:val="0"/>
        <w:autoSpaceDE/>
        <w:autoSpaceDN/>
        <w:bidi w:val="0"/>
        <w:spacing w:line="440" w:lineRule="exact"/>
        <w:ind w:left="0" w:leftChars="0" w:firstLine="0" w:firstLineChars="0"/>
        <w:jc w:val="both"/>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sz w:val="32"/>
          <w:szCs w:val="32"/>
          <w:highlight w:val="none"/>
          <w:lang w:val="en-US" w:eastAsia="zh-CN"/>
        </w:rPr>
        <w:t xml:space="preserve">   本公告</w:t>
      </w:r>
      <w:r>
        <w:rPr>
          <w:rFonts w:hint="eastAsia" w:ascii="仿宋_GB2312" w:hAnsi="仿宋_GB2312" w:eastAsia="仿宋_GB2312" w:cs="仿宋_GB2312"/>
          <w:b w:val="0"/>
          <w:bCs w:val="0"/>
          <w:color w:val="auto"/>
          <w:sz w:val="32"/>
          <w:szCs w:val="32"/>
          <w:highlight w:val="none"/>
        </w:rPr>
        <w:t>国有建设用地使用权网上挂牌出让实行竞买资格后置审查。竞买申请人交纳足额竞买保证金即获得竞买报价权限。</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szCs w:val="32"/>
          <w:highlight w:val="none"/>
        </w:rPr>
        <w:t>七、竞买人电子报价及电子限时竞价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八、确定成交候选人</w:t>
      </w:r>
    </w:p>
    <w:p>
      <w:pPr>
        <w:pStyle w:val="4"/>
        <w:keepNext w:val="0"/>
        <w:keepLines w:val="0"/>
        <w:pageBreakBefore w:val="0"/>
        <w:kinsoku/>
        <w:wordWrap/>
        <w:overflowPunct/>
        <w:topLinePunct w:val="0"/>
        <w:autoSpaceDE/>
        <w:autoSpaceDN/>
        <w:bidi w:val="0"/>
        <w:spacing w:line="440" w:lineRule="exact"/>
        <w:ind w:firstLine="579" w:firstLineChars="181"/>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国有建设用地使用权网上挂牌出让为无底价挂牌，采取价高者得方式出让并确定成交候选人。</w:t>
      </w:r>
    </w:p>
    <w:p>
      <w:pPr>
        <w:pStyle w:val="4"/>
        <w:keepNext w:val="0"/>
        <w:keepLines w:val="0"/>
        <w:pageBreakBefore w:val="0"/>
        <w:kinsoku/>
        <w:wordWrap/>
        <w:overflowPunct/>
        <w:topLinePunct w:val="0"/>
        <w:autoSpaceDE/>
        <w:autoSpaceDN/>
        <w:bidi w:val="0"/>
        <w:spacing w:line="440" w:lineRule="exact"/>
        <w:ind w:firstLine="579" w:firstLineChars="181"/>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九、资格审查</w:t>
      </w:r>
    </w:p>
    <w:p>
      <w:pPr>
        <w:pStyle w:val="4"/>
        <w:keepNext w:val="0"/>
        <w:keepLines w:val="0"/>
        <w:pageBreakBefore w:val="0"/>
        <w:kinsoku/>
        <w:wordWrap/>
        <w:overflowPunct/>
        <w:topLinePunct w:val="0"/>
        <w:autoSpaceDE/>
        <w:autoSpaceDN/>
        <w:bidi w:val="0"/>
        <w:spacing w:line="440" w:lineRule="exact"/>
        <w:ind w:firstLine="579" w:firstLineChars="181"/>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成交候选人应在网上挂牌交易系统确定成交候选人之日起</w:t>
      </w:r>
      <w:r>
        <w:rPr>
          <w:rFonts w:hint="eastAsia" w:ascii="仿宋_GB2312" w:hAnsi="仿宋_GB2312" w:eastAsia="仿宋_GB2312" w:cs="仿宋_GB2312"/>
          <w:b w:val="0"/>
          <w:bCs w:val="0"/>
          <w:color w:val="auto"/>
          <w:sz w:val="32"/>
          <w:szCs w:val="32"/>
          <w:highlight w:val="none"/>
          <w:u w:val="single"/>
          <w:lang w:val="en-US" w:eastAsia="zh-CN"/>
        </w:rPr>
        <w:t>3</w:t>
      </w:r>
      <w:r>
        <w:rPr>
          <w:rFonts w:hint="eastAsia" w:ascii="仿宋_GB2312" w:hAnsi="仿宋_GB2312" w:eastAsia="仿宋_GB2312" w:cs="仿宋_GB2312"/>
          <w:b w:val="0"/>
          <w:bCs w:val="0"/>
          <w:color w:val="auto"/>
          <w:sz w:val="32"/>
          <w:szCs w:val="32"/>
          <w:highlight w:val="none"/>
        </w:rPr>
        <w:t>个工作日内将竞买申请纸质材料提交至我局，由我局对竞买资格进行审查。我局将于</w:t>
      </w:r>
      <w:r>
        <w:rPr>
          <w:rFonts w:hint="eastAsia" w:ascii="仿宋_GB2312" w:hAnsi="仿宋_GB2312" w:eastAsia="仿宋_GB2312" w:cs="仿宋_GB2312"/>
          <w:b w:val="0"/>
          <w:bCs w:val="0"/>
          <w:color w:val="auto"/>
          <w:sz w:val="32"/>
          <w:szCs w:val="32"/>
          <w:highlight w:val="none"/>
          <w:u w:val="single"/>
          <w:lang w:val="en-US" w:eastAsia="zh-CN"/>
        </w:rPr>
        <w:t>2023</w:t>
      </w:r>
      <w:bookmarkStart w:id="0" w:name="_GoBack"/>
      <w:bookmarkEnd w:id="0"/>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3</w:t>
      </w:r>
      <w:r>
        <w:rPr>
          <w:rFonts w:hint="eastAsia" w:ascii="仿宋_GB2312" w:hAnsi="仿宋_GB2312" w:eastAsia="仿宋_GB2312" w:cs="仿宋_GB2312"/>
          <w:b w:val="0"/>
          <w:bCs w:val="0"/>
          <w:color w:val="auto"/>
          <w:sz w:val="32"/>
          <w:szCs w:val="32"/>
          <w:highlight w:val="none"/>
        </w:rPr>
        <w:t xml:space="preserve">日前确定符合竞买资格的成交候选人为竞得人。 </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成交候选人资格审查须提交下列材料：</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《竞买申请书》（加盖公章）；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《竞价结果通知书》（加盖公章）；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《竞买保证金到账通知书》（加盖公章）；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竞买保证金转账凭证复印件（加盖公章）；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法定代表人身份证复印件（加盖公章）；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授权他人代理的授权委托书及代理人身份证复印件（核对原件）；</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联合竞买协议（联合竞买的提供）；</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rPr>
        <w:t>地块建设和使用监管协议书；</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十、签订交易成交确认书及出让合同</w:t>
      </w:r>
    </w:p>
    <w:p>
      <w:pPr>
        <w:keepNext w:val="0"/>
        <w:keepLines w:val="0"/>
        <w:pageBreakBefore w:val="0"/>
        <w:kinsoku/>
        <w:wordWrap/>
        <w:overflowPunct/>
        <w:topLinePunct w:val="0"/>
        <w:autoSpaceDE/>
        <w:autoSpaceDN/>
        <w:bidi w:val="0"/>
        <w:spacing w:line="440" w:lineRule="exact"/>
        <w:ind w:firstLine="555"/>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竞得人应在接到竞得人确定通知之日起</w:t>
      </w:r>
      <w:r>
        <w:rPr>
          <w:rFonts w:hint="eastAsia" w:ascii="仿宋_GB2312" w:hAnsi="仿宋_GB2312" w:eastAsia="仿宋_GB2312" w:cs="仿宋_GB2312"/>
          <w:b w:val="0"/>
          <w:bCs w:val="0"/>
          <w:color w:val="auto"/>
          <w:sz w:val="32"/>
          <w:szCs w:val="32"/>
          <w:highlight w:val="none"/>
          <w:u w:val="single"/>
          <w:lang w:val="en-US" w:eastAsia="zh-CN"/>
        </w:rPr>
        <w:t>5</w:t>
      </w:r>
      <w:r>
        <w:rPr>
          <w:rFonts w:hint="eastAsia" w:ascii="仿宋_GB2312" w:hAnsi="仿宋_GB2312" w:eastAsia="仿宋_GB2312" w:cs="仿宋_GB2312"/>
          <w:b w:val="0"/>
          <w:bCs w:val="0"/>
          <w:color w:val="auto"/>
          <w:sz w:val="32"/>
          <w:szCs w:val="32"/>
          <w:highlight w:val="none"/>
        </w:rPr>
        <w:t>个工作日内</w:t>
      </w:r>
      <w:r>
        <w:rPr>
          <w:rFonts w:hint="eastAsia" w:ascii="仿宋_GB2312" w:hAnsi="仿宋_GB2312" w:eastAsia="仿宋_GB2312" w:cs="仿宋_GB2312"/>
          <w:b w:val="0"/>
          <w:bCs w:val="0"/>
          <w:color w:val="auto"/>
          <w:sz w:val="32"/>
          <w:szCs w:val="32"/>
          <w:highlight w:val="none"/>
          <w:lang w:eastAsia="zh-CN"/>
        </w:rPr>
        <w:t>与我局、交易中心</w:t>
      </w:r>
      <w:r>
        <w:rPr>
          <w:rFonts w:hint="eastAsia" w:ascii="仿宋_GB2312" w:hAnsi="仿宋_GB2312" w:eastAsia="仿宋_GB2312" w:cs="仿宋_GB2312"/>
          <w:b w:val="0"/>
          <w:bCs w:val="0"/>
          <w:color w:val="auto"/>
          <w:sz w:val="32"/>
          <w:szCs w:val="32"/>
          <w:highlight w:val="none"/>
        </w:rPr>
        <w:t>签订《成交确认书》，在签订《成交确认书》之日起</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u w:val="none"/>
          <w:lang w:val="en-US" w:eastAsia="zh-CN"/>
        </w:rPr>
        <w:t>个工作日</w:t>
      </w:r>
      <w:r>
        <w:rPr>
          <w:rFonts w:hint="eastAsia" w:ascii="仿宋_GB2312" w:hAnsi="仿宋_GB2312" w:eastAsia="仿宋_GB2312" w:cs="仿宋_GB2312"/>
          <w:b w:val="0"/>
          <w:bCs w:val="0"/>
          <w:color w:val="auto"/>
          <w:sz w:val="32"/>
          <w:szCs w:val="32"/>
          <w:highlight w:val="none"/>
        </w:rPr>
        <w:t>内与我局签订《出让合同》。</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十一、竞买保证金退还或转付成交价款</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签订交易合同，竞得人</w:t>
      </w:r>
      <w:r>
        <w:rPr>
          <w:rFonts w:hint="eastAsia" w:ascii="仿宋_GB2312" w:hAnsi="仿宋_GB2312" w:eastAsia="仿宋_GB2312" w:cs="仿宋_GB2312"/>
          <w:b w:val="0"/>
          <w:bCs w:val="0"/>
          <w:color w:val="auto"/>
          <w:sz w:val="32"/>
          <w:szCs w:val="32"/>
          <w:highlight w:val="none"/>
          <w:shd w:val="clear" w:color="auto" w:fill="auto"/>
          <w:lang w:eastAsia="zh-CN"/>
        </w:rPr>
        <w:t>交</w:t>
      </w:r>
      <w:r>
        <w:rPr>
          <w:rFonts w:hint="eastAsia" w:ascii="仿宋_GB2312" w:hAnsi="仿宋_GB2312" w:eastAsia="仿宋_GB2312" w:cs="仿宋_GB2312"/>
          <w:b w:val="0"/>
          <w:bCs w:val="0"/>
          <w:color w:val="auto"/>
          <w:sz w:val="32"/>
          <w:szCs w:val="32"/>
          <w:highlight w:val="none"/>
          <w:shd w:val="clear" w:color="auto" w:fill="auto"/>
        </w:rPr>
        <w:t>纳</w:t>
      </w:r>
      <w:r>
        <w:rPr>
          <w:rFonts w:hint="eastAsia" w:ascii="仿宋_GB2312" w:hAnsi="仿宋_GB2312" w:eastAsia="仿宋_GB2312" w:cs="仿宋_GB2312"/>
          <w:b w:val="0"/>
          <w:bCs w:val="0"/>
          <w:color w:val="auto"/>
          <w:sz w:val="32"/>
          <w:szCs w:val="32"/>
          <w:highlight w:val="none"/>
        </w:rPr>
        <w:t>的竞买保证金按成交价的</w:t>
      </w:r>
      <w:r>
        <w:rPr>
          <w:rFonts w:hint="eastAsia" w:ascii="仿宋_GB2312" w:hAnsi="仿宋_GB2312" w:eastAsia="仿宋_GB2312" w:cs="仿宋_GB2312"/>
          <w:b w:val="0"/>
          <w:bCs w:val="0"/>
          <w:color w:val="auto"/>
          <w:sz w:val="32"/>
          <w:szCs w:val="32"/>
          <w:highlight w:val="none"/>
          <w:u w:val="single"/>
          <w:lang w:val="en-US" w:eastAsia="zh-CN"/>
        </w:rPr>
        <w:t>20</w:t>
      </w:r>
      <w:r>
        <w:rPr>
          <w:rFonts w:hint="eastAsia" w:ascii="仿宋_GB2312" w:hAnsi="仿宋_GB2312" w:eastAsia="仿宋_GB2312" w:cs="仿宋_GB2312"/>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4"/>
        <w:keepNext w:val="0"/>
        <w:keepLines w:val="0"/>
        <w:pageBreakBefore w:val="0"/>
        <w:kinsoku/>
        <w:wordWrap/>
        <w:overflowPunct/>
        <w:topLinePunct w:val="0"/>
        <w:autoSpaceDE/>
        <w:autoSpaceDN/>
        <w:bidi w:val="0"/>
        <w:spacing w:line="440" w:lineRule="exact"/>
        <w:ind w:firstLine="64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未竞得人交纳的竞买保证金于电子挂牌交易活动结束之日起带齐相关资料（《保证金到账通知书》及进账单等）到本分中心退还保证金，不计利息。</w:t>
      </w:r>
    </w:p>
    <w:p>
      <w:pPr>
        <w:pStyle w:val="4"/>
        <w:keepNext w:val="0"/>
        <w:keepLines w:val="0"/>
        <w:pageBreakBefore w:val="0"/>
        <w:kinsoku/>
        <w:wordWrap/>
        <w:overflowPunct/>
        <w:topLinePunct w:val="0"/>
        <w:autoSpaceDE/>
        <w:autoSpaceDN/>
        <w:bidi w:val="0"/>
        <w:spacing w:line="440" w:lineRule="exact"/>
        <w:ind w:firstLine="64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竞得人交纳的竞买保证金转付成交价款，竞得人应带齐如下相关资料到交易中心办理转付成交价款手续：</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保证金到账通知书；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竞价结果通知书；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保证金转账凭证。</w:t>
      </w:r>
    </w:p>
    <w:p>
      <w:pPr>
        <w:pStyle w:val="4"/>
        <w:keepNext w:val="0"/>
        <w:keepLines w:val="0"/>
        <w:pageBreakBefore w:val="0"/>
        <w:kinsoku/>
        <w:wordWrap/>
        <w:overflowPunct/>
        <w:topLinePunct w:val="0"/>
        <w:autoSpaceDE/>
        <w:autoSpaceDN/>
        <w:bidi w:val="0"/>
        <w:spacing w:line="4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、成交价款支付方式及期限</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土地成交价款须以人民币支付,竞得人在签订出让合同之日起</w:t>
      </w:r>
      <w:r>
        <w:rPr>
          <w:rFonts w:hint="eastAsia" w:ascii="仿宋_GB2312" w:hAnsi="仿宋_GB2312" w:eastAsia="仿宋_GB2312" w:cs="仿宋_GB2312"/>
          <w:b w:val="0"/>
          <w:bCs w:val="0"/>
          <w:color w:val="auto"/>
          <w:sz w:val="32"/>
          <w:szCs w:val="32"/>
          <w:highlight w:val="none"/>
          <w:u w:val="single"/>
          <w:lang w:val="en-US" w:eastAsia="zh-CN"/>
        </w:rPr>
        <w:t>30</w:t>
      </w:r>
      <w:r>
        <w:rPr>
          <w:rFonts w:hint="eastAsia" w:ascii="仿宋_GB2312" w:hAnsi="仿宋_GB2312" w:eastAsia="仿宋_GB2312" w:cs="仿宋_GB2312"/>
          <w:b w:val="0"/>
          <w:bCs w:val="0"/>
          <w:color w:val="auto"/>
          <w:sz w:val="32"/>
          <w:szCs w:val="32"/>
          <w:highlight w:val="none"/>
        </w:rPr>
        <w:t>日内一次性付清全部成交价款。</w:t>
      </w:r>
    </w:p>
    <w:p>
      <w:pPr>
        <w:pStyle w:val="4"/>
        <w:keepNext w:val="0"/>
        <w:keepLines w:val="0"/>
        <w:pageBreakBefore w:val="0"/>
        <w:kinsoku/>
        <w:wordWrap/>
        <w:overflowPunct/>
        <w:topLinePunct w:val="0"/>
        <w:autoSpaceDE/>
        <w:autoSpaceDN/>
        <w:bidi w:val="0"/>
        <w:spacing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4"/>
        <w:keepNext w:val="0"/>
        <w:keepLines w:val="0"/>
        <w:pageBreakBefore w:val="0"/>
        <w:kinsoku/>
        <w:wordWrap/>
        <w:overflowPunct/>
        <w:topLinePunct w:val="0"/>
        <w:autoSpaceDE/>
        <w:autoSpaceDN/>
        <w:bidi w:val="0"/>
        <w:spacing w:line="4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3"/>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不符合竞买资格条件的；</w:t>
      </w:r>
    </w:p>
    <w:p>
      <w:pPr>
        <w:keepNext w:val="0"/>
        <w:keepLines w:val="0"/>
        <w:pageBreakBefore w:val="0"/>
        <w:numPr>
          <w:ilvl w:val="0"/>
          <w:numId w:val="3"/>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提供虚假文件材料，隐瞒重要事实的；</w:t>
      </w:r>
    </w:p>
    <w:p>
      <w:pPr>
        <w:keepNext w:val="0"/>
        <w:keepLines w:val="0"/>
        <w:pageBreakBefore w:val="0"/>
        <w:numPr>
          <w:ilvl w:val="0"/>
          <w:numId w:val="3"/>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采取行贿、恶意串通等非法手段竞得的；</w:t>
      </w:r>
    </w:p>
    <w:p>
      <w:pPr>
        <w:keepNext w:val="0"/>
        <w:keepLines w:val="0"/>
        <w:pageBreakBefore w:val="0"/>
        <w:numPr>
          <w:ilvl w:val="0"/>
          <w:numId w:val="3"/>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无正当理由逾期或拒绝签订成交确认书的；</w:t>
      </w:r>
    </w:p>
    <w:p>
      <w:pPr>
        <w:keepNext w:val="0"/>
        <w:keepLines w:val="0"/>
        <w:pageBreakBefore w:val="0"/>
        <w:numPr>
          <w:ilvl w:val="0"/>
          <w:numId w:val="3"/>
        </w:numPr>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无正当理由逾期或拒绝签订交易合同的。</w:t>
      </w:r>
    </w:p>
    <w:p>
      <w:pPr>
        <w:pStyle w:val="4"/>
        <w:keepNext w:val="0"/>
        <w:keepLines w:val="0"/>
        <w:pageBreakBefore w:val="0"/>
        <w:kinsoku/>
        <w:wordWrap/>
        <w:overflowPunct/>
        <w:topLinePunct w:val="0"/>
        <w:autoSpaceDE/>
        <w:autoSpaceDN/>
        <w:bidi w:val="0"/>
        <w:spacing w:line="4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440" w:lineRule="exact"/>
        <w:ind w:firstLine="555"/>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4"/>
        <w:keepNext w:val="0"/>
        <w:keepLines w:val="0"/>
        <w:pageBreakBefore w:val="0"/>
        <w:kinsoku/>
        <w:wordWrap/>
        <w:overflowPunct/>
        <w:topLinePunct w:val="0"/>
        <w:autoSpaceDE/>
        <w:autoSpaceDN/>
        <w:bidi w:val="0"/>
        <w:spacing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（二）有意竞买者可以自行到地块现场踏勘（可在网上挂牌交易系统查阅位置图和现状图）。</w:t>
      </w:r>
    </w:p>
    <w:p>
      <w:pPr>
        <w:pStyle w:val="4"/>
        <w:keepNext w:val="0"/>
        <w:keepLines w:val="0"/>
        <w:pageBreakBefore w:val="0"/>
        <w:kinsoku/>
        <w:wordWrap/>
        <w:overflowPunct/>
        <w:topLinePunct w:val="0"/>
        <w:autoSpaceDE/>
        <w:autoSpaceDN/>
        <w:bidi w:val="0"/>
        <w:spacing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4"/>
        <w:keepNext w:val="0"/>
        <w:keepLines w:val="0"/>
        <w:pageBreakBefore w:val="0"/>
        <w:kinsoku/>
        <w:wordWrap/>
        <w:overflowPunct/>
        <w:topLinePunct w:val="0"/>
        <w:autoSpaceDE/>
        <w:autoSpaceDN/>
        <w:bidi w:val="0"/>
        <w:spacing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（四）地块动工竣工时间及地块交付时间</w:t>
      </w:r>
    </w:p>
    <w:p>
      <w:pPr>
        <w:pStyle w:val="4"/>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地块动工时间为地块交付之日起一年内，竣工时间为动工之日起三年内（因不可抗拒因素除外）；</w:t>
      </w:r>
    </w:p>
    <w:p>
      <w:pPr>
        <w:pStyle w:val="4"/>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竞得人在付清地价款后</w:t>
      </w:r>
      <w:r>
        <w:rPr>
          <w:rFonts w:hint="eastAsia" w:ascii="仿宋_GB2312" w:hAnsi="仿宋_GB2312" w:eastAsia="仿宋_GB2312" w:cs="仿宋_GB2312"/>
          <w:b w:val="0"/>
          <w:bCs w:val="0"/>
          <w:color w:val="auto"/>
          <w:sz w:val="32"/>
          <w:szCs w:val="32"/>
          <w:highlight w:val="none"/>
          <w:lang w:val="en-US" w:eastAsia="zh-CN"/>
        </w:rPr>
        <w:t>30日</w:t>
      </w:r>
      <w:r>
        <w:rPr>
          <w:rFonts w:hint="eastAsia" w:ascii="仿宋_GB2312" w:hAnsi="仿宋_GB2312" w:eastAsia="仿宋_GB2312" w:cs="仿宋_GB2312"/>
          <w:b w:val="0"/>
          <w:bCs w:val="0"/>
          <w:color w:val="auto"/>
          <w:sz w:val="32"/>
          <w:szCs w:val="32"/>
          <w:highlight w:val="none"/>
        </w:rPr>
        <w:t>内办理交地手续，凭《</w:t>
      </w:r>
      <w:r>
        <w:rPr>
          <w:rFonts w:hint="eastAsia" w:ascii="仿宋_GB2312" w:hAnsi="仿宋_GB2312" w:eastAsia="仿宋_GB2312" w:cs="仿宋_GB2312"/>
          <w:b w:val="0"/>
          <w:bCs w:val="0"/>
          <w:color w:val="auto"/>
          <w:sz w:val="32"/>
          <w:szCs w:val="32"/>
          <w:highlight w:val="none"/>
          <w:lang w:eastAsia="zh-CN"/>
        </w:rPr>
        <w:t>成交</w:t>
      </w:r>
      <w:r>
        <w:rPr>
          <w:rFonts w:hint="eastAsia" w:ascii="仿宋_GB2312" w:hAnsi="仿宋_GB2312" w:eastAsia="仿宋_GB2312" w:cs="仿宋_GB2312"/>
          <w:b w:val="0"/>
          <w:bCs w:val="0"/>
          <w:color w:val="auto"/>
          <w:sz w:val="32"/>
          <w:szCs w:val="32"/>
          <w:highlight w:val="none"/>
        </w:rPr>
        <w:t>确认书》、《出让合同》和地价款交款凭证等申请办理土地初始登记，领取《不动产权证书》。</w:t>
      </w:r>
    </w:p>
    <w:p>
      <w:pPr>
        <w:pStyle w:val="4"/>
        <w:keepNext w:val="0"/>
        <w:keepLines w:val="0"/>
        <w:pageBreakBefore w:val="0"/>
        <w:kinsoku/>
        <w:wordWrap/>
        <w:overflowPunct/>
        <w:topLinePunct w:val="0"/>
        <w:autoSpaceDE/>
        <w:autoSpaceDN/>
        <w:bidi w:val="0"/>
        <w:spacing w:line="4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（五）土地开发及使用规定</w:t>
      </w:r>
    </w:p>
    <w:p>
      <w:pPr>
        <w:pStyle w:val="4"/>
        <w:keepNext w:val="0"/>
        <w:keepLines w:val="0"/>
        <w:pageBreakBefore w:val="0"/>
        <w:kinsoku/>
        <w:wordWrap/>
        <w:overflowPunct/>
        <w:topLinePunct w:val="0"/>
        <w:autoSpaceDE/>
        <w:autoSpaceDN/>
        <w:bidi w:val="0"/>
        <w:spacing w:line="44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LM2022-2</w:t>
      </w:r>
      <w:r>
        <w:rPr>
          <w:rFonts w:hint="eastAsia"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val="en-US" w:eastAsia="zh-CN"/>
        </w:rPr>
        <w:t>号、LM2022-2</w:t>
      </w:r>
      <w:r>
        <w:rPr>
          <w:rFonts w:hint="eastAsia"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val="en-US" w:eastAsia="zh-CN"/>
        </w:rPr>
        <w:t>号</w:t>
      </w:r>
      <w:r>
        <w:rPr>
          <w:rFonts w:hint="eastAsia" w:ascii="Times New Roman" w:hAnsi="Times New Roman" w:eastAsia="方正仿宋_GBK" w:cs="Times New Roman"/>
          <w:color w:val="auto"/>
          <w:kern w:val="0"/>
          <w:sz w:val="32"/>
          <w:szCs w:val="32"/>
          <w:lang w:val="en-US" w:eastAsia="zh-CN" w:bidi="ar-SA"/>
        </w:rPr>
        <w:t>地块所经营的产业类型为砼结构件制造类产业项目；投资强度需不低于人民币4500元/平方米，建成投产后单位产值不低于人民币9000元/平方米/年、单位税收贡献不低于人民币450元/平方米/年。竞得土地后3个工作日内（签订《成交确认书》前）与惠州产业转移工业园管委会签订《地块建设和使用监管协议书》，由惠州产业转移工业园管委会对项目用地实施监管。</w:t>
      </w:r>
    </w:p>
    <w:p>
      <w:pPr>
        <w:pStyle w:val="2"/>
        <w:keepNext w:val="0"/>
        <w:keepLines w:val="0"/>
        <w:pageBreakBefore w:val="0"/>
        <w:kinsoku/>
        <w:wordWrap/>
        <w:overflowPunct/>
        <w:topLinePunct w:val="0"/>
        <w:bidi w:val="0"/>
        <w:spacing w:line="440" w:lineRule="exact"/>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sz w:val="32"/>
          <w:szCs w:val="32"/>
          <w:lang w:val="en-US" w:eastAsia="zh-CN"/>
        </w:rPr>
        <w:t>LM2022-28号、LM2022-29号、LM2022-30号</w:t>
      </w:r>
      <w:r>
        <w:rPr>
          <w:rFonts w:hint="eastAsia" w:ascii="Times New Roman" w:hAnsi="Times New Roman" w:eastAsia="方正仿宋_GBK" w:cs="Times New Roman"/>
          <w:color w:val="auto"/>
          <w:kern w:val="2"/>
          <w:sz w:val="32"/>
          <w:szCs w:val="32"/>
          <w:lang w:val="en-US" w:eastAsia="zh-CN" w:bidi="ar-SA"/>
        </w:rPr>
        <w:t>地块所经营的产业类型为塑料薄膜制造项目；投资强度需不低于人民币4500元/平方米，建成投产后单位产值不低于人民币9000元/平方米/年、单位税收贡献不低于人民币450元/平方米/年。竞得土地后3个工作日内（签订《成交确认书》前）与惠州产业转移工业园管委会签订《地块建设和使用监管协议书》，由惠州产业转移工业园管委会对项目用地实施监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3.竞得人在签订《出让合同》前，须向县自然资源局提交《产业发展承诺书》作为《出让合同》的附件。</w:t>
      </w:r>
    </w:p>
    <w:p>
      <w:pPr>
        <w:keepNext w:val="0"/>
        <w:keepLines w:val="0"/>
        <w:pageBreakBefore w:val="0"/>
        <w:numPr>
          <w:ilvl w:val="0"/>
          <w:numId w:val="0"/>
        </w:numPr>
        <w:kinsoku/>
        <w:wordWrap/>
        <w:overflowPunct/>
        <w:topLinePunct w:val="0"/>
        <w:autoSpaceDE/>
        <w:autoSpaceDN/>
        <w:bidi w:val="0"/>
        <w:spacing w:line="440" w:lineRule="exact"/>
        <w:ind w:leftChars="200" w:firstLine="320" w:firstLineChars="1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十五、</w:t>
      </w:r>
      <w:r>
        <w:rPr>
          <w:rFonts w:hint="eastAsia" w:ascii="仿宋_GB2312" w:hAnsi="仿宋_GB2312" w:eastAsia="仿宋_GB2312" w:cs="仿宋_GB2312"/>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出让方：</w:t>
      </w:r>
      <w:r>
        <w:rPr>
          <w:rFonts w:hint="eastAsia" w:ascii="仿宋_GB2312" w:hAnsi="仿宋_GB2312" w:eastAsia="仿宋_GB2312" w:cs="仿宋_GB2312"/>
          <w:i w:val="0"/>
          <w:caps w:val="0"/>
          <w:color w:val="auto"/>
          <w:spacing w:val="0"/>
          <w:sz w:val="32"/>
          <w:szCs w:val="32"/>
          <w:highlight w:val="none"/>
          <w:shd w:val="clear" w:color="auto" w:fill="FFFFFF"/>
        </w:rPr>
        <w:t>惠州市龙门县自然资源局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w:t>
      </w:r>
      <w:r>
        <w:rPr>
          <w:rFonts w:hint="eastAsia" w:ascii="仿宋_GB2312" w:hAnsi="仿宋_GB2312" w:eastAsia="仿宋_GB2312" w:cs="仿宋_GB2312"/>
          <w:i w:val="0"/>
          <w:caps w:val="0"/>
          <w:color w:val="auto"/>
          <w:spacing w:val="0"/>
          <w:sz w:val="32"/>
          <w:szCs w:val="32"/>
          <w:highlight w:val="none"/>
          <w:shd w:val="clear" w:color="auto" w:fill="FFFFFF"/>
        </w:rPr>
        <w:t>地址：惠州市龙门县龙新公路西埔路段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联系人：</w:t>
      </w:r>
      <w:r>
        <w:rPr>
          <w:rFonts w:hint="eastAsia" w:ascii="仿宋_GB2312" w:hAnsi="仿宋_GB2312" w:eastAsia="仿宋_GB2312" w:cs="仿宋_GB2312"/>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联系电话：</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0752-7783681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交易机构：</w:t>
      </w:r>
      <w:r>
        <w:rPr>
          <w:rFonts w:hint="eastAsia" w:ascii="仿宋_GB2312" w:hAnsi="仿宋_GB2312" w:eastAsia="仿宋_GB2312" w:cs="仿宋_GB2312"/>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w:t>
      </w:r>
      <w:r>
        <w:rPr>
          <w:rFonts w:hint="eastAsia" w:ascii="仿宋_GB2312" w:hAnsi="仿宋_GB2312" w:eastAsia="仿宋_GB2312" w:cs="仿宋_GB2312"/>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联系人：陈先生</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谢小姐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联系电话：0752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7988083</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注：本公告同时在下列网站及</w:t>
      </w:r>
      <w:r>
        <w:rPr>
          <w:rFonts w:hint="eastAsia" w:ascii="仿宋_GB2312" w:hAnsi="仿宋_GB2312" w:eastAsia="仿宋_GB2312" w:cs="仿宋_GB2312"/>
          <w:b w:val="0"/>
          <w:bCs w:val="0"/>
          <w:color w:val="auto"/>
          <w:sz w:val="32"/>
          <w:szCs w:val="32"/>
          <w:highlight w:val="none"/>
          <w:lang w:val="en-US" w:eastAsia="zh-CN"/>
        </w:rPr>
        <w:t>报刊</w:t>
      </w:r>
      <w:r>
        <w:rPr>
          <w:rFonts w:hint="eastAsia" w:ascii="仿宋_GB2312" w:hAnsi="仿宋_GB2312" w:eastAsia="仿宋_GB2312" w:cs="仿宋_GB2312"/>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中国土地市场网: http://www.landchina.com</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广东</w:t>
      </w:r>
      <w:r>
        <w:rPr>
          <w:rFonts w:hint="eastAsia" w:ascii="仿宋_GB2312" w:hAnsi="仿宋_GB2312" w:eastAsia="仿宋_GB2312" w:cs="仿宋_GB2312"/>
          <w:i w:val="0"/>
          <w:caps w:val="0"/>
          <w:color w:val="auto"/>
          <w:spacing w:val="0"/>
          <w:sz w:val="32"/>
          <w:szCs w:val="32"/>
          <w:highlight w:val="none"/>
          <w:shd w:val="clear" w:color="auto" w:fill="FFFFFF"/>
        </w:rPr>
        <w:t>省公共资源交易平台</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https://ygp.gdzwfw.gov.cn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广东省自然资源厅：http://nr.gd.gov.cn/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龙门县人民政府网:（龙门县自然资源局、惠州市公共资源交易中心龙门分中心）：http://www.longmen.gov.cn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惠州市公共资源交易中心网：http://zyjy.huizhou.gov.cn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惠州日报</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rPr>
        <w:t>联系电话：0752-7121029</w:t>
      </w:r>
    </w:p>
    <w:p>
      <w:pPr>
        <w:pStyle w:val="4"/>
        <w:keepNext w:val="0"/>
        <w:keepLines w:val="0"/>
        <w:pageBreakBefore w:val="0"/>
        <w:kinsoku/>
        <w:wordWrap/>
        <w:overflowPunct/>
        <w:topLinePunct w:val="0"/>
        <w:autoSpaceDE/>
        <w:autoSpaceDN/>
        <w:bidi w:val="0"/>
        <w:spacing w:line="440" w:lineRule="exact"/>
        <w:ind w:firstLine="3840" w:firstLineChars="1200"/>
        <w:jc w:val="right"/>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龙门县</w:t>
      </w:r>
      <w:r>
        <w:rPr>
          <w:rFonts w:hint="eastAsia" w:ascii="仿宋_GB2312" w:hAnsi="仿宋_GB2312" w:eastAsia="仿宋_GB2312" w:cs="仿宋_GB2312"/>
          <w:b w:val="0"/>
          <w:bCs w:val="0"/>
          <w:color w:val="auto"/>
          <w:sz w:val="32"/>
          <w:szCs w:val="32"/>
          <w:highlight w:val="none"/>
        </w:rPr>
        <w:t>自然资源局</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44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kinsoku/>
        <w:wordWrap/>
        <w:overflowPunct/>
        <w:topLinePunct w:val="0"/>
        <w:autoSpaceDE/>
        <w:autoSpaceDN/>
        <w:bidi w:val="0"/>
        <w:spacing w:line="440" w:lineRule="exact"/>
        <w:jc w:val="right"/>
        <w:textAlignment w:val="auto"/>
        <w:rPr>
          <w:rFonts w:hint="eastAsia" w:ascii="仿宋_GB2312" w:hAnsi="仿宋_GB2312" w:eastAsia="仿宋_GB2312" w:cs="仿宋_GB2312"/>
          <w:color w:val="auto"/>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4"/>
        <w:keepNext w:val="0"/>
        <w:keepLines w:val="0"/>
        <w:pageBreakBefore w:val="0"/>
        <w:kinsoku/>
        <w:wordWrap/>
        <w:overflowPunct/>
        <w:topLinePunct w:val="0"/>
        <w:bidi w:val="0"/>
        <w:spacing w:line="440" w:lineRule="exact"/>
        <w:ind w:left="0" w:leftChars="0" w:firstLine="0" w:firstLineChars="0"/>
        <w:jc w:val="both"/>
        <w:rPr>
          <w:color w:val="auto"/>
          <w:highlight w:val="none"/>
        </w:rPr>
      </w:pPr>
    </w:p>
    <w:p>
      <w:pPr>
        <w:keepNext w:val="0"/>
        <w:keepLines w:val="0"/>
        <w:pageBreakBefore w:val="0"/>
        <w:kinsoku/>
        <w:wordWrap/>
        <w:overflowPunct/>
        <w:topLinePunct w:val="0"/>
        <w:bidi w:val="0"/>
        <w:spacing w:line="440" w:lineRule="exact"/>
        <w:jc w:val="both"/>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附表：</w:t>
      </w:r>
    </w:p>
    <w:p>
      <w:pPr>
        <w:keepNext w:val="0"/>
        <w:keepLines w:val="0"/>
        <w:pageBreakBefore w:val="0"/>
        <w:tabs>
          <w:tab w:val="left" w:pos="9720"/>
        </w:tabs>
        <w:kinsoku/>
        <w:wordWrap/>
        <w:overflowPunct/>
        <w:topLinePunct w:val="0"/>
        <w:bidi w:val="0"/>
        <w:spacing w:line="440" w:lineRule="exact"/>
        <w:jc w:val="center"/>
        <w:rPr>
          <w:rFonts w:ascii="仿宋_GB2312" w:hAnsi="宋体" w:eastAsia="仿宋_GB2312"/>
          <w:b w:val="0"/>
          <w:bCs w:val="0"/>
          <w:color w:val="auto"/>
          <w:sz w:val="32"/>
          <w:szCs w:val="32"/>
          <w:highlight w:val="none"/>
        </w:rPr>
      </w:pPr>
      <w:r>
        <w:rPr>
          <w:rFonts w:hint="eastAsia" w:ascii="仿宋_GB2312" w:hAnsi="宋体" w:eastAsia="仿宋_GB2312"/>
          <w:b w:val="0"/>
          <w:bCs w:val="0"/>
          <w:color w:val="auto"/>
          <w:sz w:val="32"/>
          <w:szCs w:val="32"/>
          <w:highlight w:val="none"/>
        </w:rPr>
        <w:t>网上挂牌出让地块基本情况及规划建设指标</w:t>
      </w:r>
    </w:p>
    <w:tbl>
      <w:tblPr>
        <w:tblStyle w:val="9"/>
        <w:tblpPr w:leftFromText="180" w:rightFromText="180" w:vertAnchor="text" w:tblpXSpec="center" w:tblpY="1"/>
        <w:tblOverlap w:val="never"/>
        <w:tblW w:w="14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425"/>
        <w:gridCol w:w="535"/>
        <w:gridCol w:w="603"/>
        <w:gridCol w:w="719"/>
        <w:gridCol w:w="705"/>
        <w:gridCol w:w="866"/>
        <w:gridCol w:w="1219"/>
        <w:gridCol w:w="1218"/>
        <w:gridCol w:w="1125"/>
        <w:gridCol w:w="1365"/>
        <w:gridCol w:w="1395"/>
        <w:gridCol w:w="108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6" w:type="dxa"/>
            <w:vMerge w:val="restart"/>
            <w:vAlign w:val="center"/>
          </w:tcPr>
          <w:p>
            <w:pPr>
              <w:keepNext w:val="0"/>
              <w:keepLines w:val="0"/>
              <w:pageBreakBefore w:val="0"/>
              <w:kinsoku/>
              <w:wordWrap/>
              <w:overflowPunct/>
              <w:topLinePunct w:val="0"/>
              <w:bidi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挂牌地块编号</w:t>
            </w:r>
          </w:p>
        </w:tc>
        <w:tc>
          <w:tcPr>
            <w:tcW w:w="1425" w:type="dxa"/>
            <w:vMerge w:val="restart"/>
            <w:vAlign w:val="center"/>
          </w:tcPr>
          <w:p>
            <w:pPr>
              <w:keepNext w:val="0"/>
              <w:keepLines w:val="0"/>
              <w:pageBreakBefore w:val="0"/>
              <w:kinsoku/>
              <w:wordWrap/>
              <w:overflowPunct/>
              <w:topLinePunct w:val="0"/>
              <w:bidi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土地</w:t>
            </w:r>
          </w:p>
          <w:p>
            <w:pPr>
              <w:keepNext w:val="0"/>
              <w:keepLines w:val="0"/>
              <w:pageBreakBefore w:val="0"/>
              <w:kinsoku/>
              <w:wordWrap/>
              <w:overflowPunct/>
              <w:topLinePunct w:val="0"/>
              <w:bidi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位置</w:t>
            </w:r>
          </w:p>
        </w:tc>
        <w:tc>
          <w:tcPr>
            <w:tcW w:w="535" w:type="dxa"/>
            <w:vMerge w:val="restart"/>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用地编号</w:t>
            </w:r>
          </w:p>
        </w:tc>
        <w:tc>
          <w:tcPr>
            <w:tcW w:w="603" w:type="dxa"/>
            <w:vMerge w:val="restart"/>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土地</w:t>
            </w:r>
          </w:p>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用途</w:t>
            </w:r>
          </w:p>
        </w:tc>
        <w:tc>
          <w:tcPr>
            <w:tcW w:w="719" w:type="dxa"/>
            <w:vMerge w:val="restart"/>
            <w:vAlign w:val="center"/>
          </w:tcPr>
          <w:p>
            <w:pPr>
              <w:keepNext w:val="0"/>
              <w:keepLines w:val="0"/>
              <w:pageBreakBefore w:val="0"/>
              <w:kinsoku/>
              <w:wordWrap/>
              <w:overflowPunct/>
              <w:topLinePunct w:val="0"/>
              <w:bidi w:val="0"/>
              <w:adjustRightInd w:val="0"/>
              <w:snapToGrid w:val="0"/>
              <w:spacing w:line="440" w:lineRule="exact"/>
              <w:jc w:val="center"/>
              <w:rPr>
                <w:rFonts w:hint="eastAsia" w:ascii="仿宋_GB2312" w:hAnsi="宋体" w:eastAsia="仿宋_GB2312"/>
                <w:b w:val="0"/>
                <w:bCs w:val="0"/>
                <w:color w:val="auto"/>
                <w:sz w:val="24"/>
                <w:szCs w:val="24"/>
                <w:highlight w:val="none"/>
                <w:lang w:val="en-US" w:eastAsia="zh-CN"/>
              </w:rPr>
            </w:pPr>
            <w:r>
              <w:rPr>
                <w:rFonts w:hint="eastAsia" w:ascii="仿宋_GB2312" w:hAnsi="宋体" w:eastAsia="仿宋_GB2312"/>
                <w:b w:val="0"/>
                <w:bCs w:val="0"/>
                <w:color w:val="auto"/>
                <w:sz w:val="24"/>
                <w:szCs w:val="24"/>
                <w:highlight w:val="none"/>
                <w:lang w:val="en-US" w:eastAsia="zh-CN"/>
              </w:rPr>
              <w:t>起始价（万元）</w:t>
            </w:r>
          </w:p>
        </w:tc>
        <w:tc>
          <w:tcPr>
            <w:tcW w:w="705" w:type="dxa"/>
            <w:vMerge w:val="restart"/>
            <w:vAlign w:val="center"/>
          </w:tcPr>
          <w:p>
            <w:pPr>
              <w:keepNext w:val="0"/>
              <w:keepLines w:val="0"/>
              <w:pageBreakBefore w:val="0"/>
              <w:kinsoku/>
              <w:wordWrap/>
              <w:overflowPunct/>
              <w:topLinePunct w:val="0"/>
              <w:bidi w:val="0"/>
              <w:adjustRightInd w:val="0"/>
              <w:snapToGrid w:val="0"/>
              <w:spacing w:line="440" w:lineRule="exact"/>
              <w:jc w:val="center"/>
              <w:rPr>
                <w:rFonts w:hint="eastAsia" w:ascii="仿宋_GB2312" w:hAnsi="宋体" w:eastAsia="仿宋_GB2312"/>
                <w:b w:val="0"/>
                <w:bCs w:val="0"/>
                <w:color w:val="auto"/>
                <w:sz w:val="24"/>
                <w:szCs w:val="24"/>
                <w:highlight w:val="none"/>
                <w:lang w:val="en-US" w:eastAsia="zh-CN"/>
              </w:rPr>
            </w:pPr>
            <w:r>
              <w:rPr>
                <w:rFonts w:hint="eastAsia" w:ascii="仿宋_GB2312" w:hAnsi="宋体" w:eastAsia="仿宋_GB2312"/>
                <w:b w:val="0"/>
                <w:bCs w:val="0"/>
                <w:color w:val="auto"/>
                <w:sz w:val="24"/>
                <w:szCs w:val="24"/>
                <w:highlight w:val="none"/>
                <w:lang w:val="en-US" w:eastAsia="zh-CN"/>
              </w:rPr>
              <w:t>加价幅度（万元）</w:t>
            </w:r>
          </w:p>
        </w:tc>
        <w:tc>
          <w:tcPr>
            <w:tcW w:w="866" w:type="dxa"/>
            <w:vMerge w:val="restart"/>
            <w:vAlign w:val="center"/>
          </w:tcPr>
          <w:p>
            <w:pPr>
              <w:keepNext w:val="0"/>
              <w:keepLines w:val="0"/>
              <w:pageBreakBefore w:val="0"/>
              <w:kinsoku/>
              <w:wordWrap/>
              <w:overflowPunct/>
              <w:topLinePunct w:val="0"/>
              <w:bidi w:val="0"/>
              <w:adjustRightInd w:val="0"/>
              <w:snapToGrid w:val="0"/>
              <w:spacing w:line="440" w:lineRule="exact"/>
              <w:jc w:val="center"/>
              <w:rPr>
                <w:rFonts w:hint="eastAsia" w:ascii="仿宋_GB2312" w:hAnsi="宋体" w:eastAsia="仿宋_GB2312"/>
                <w:b w:val="0"/>
                <w:bCs w:val="0"/>
                <w:color w:val="auto"/>
                <w:sz w:val="24"/>
                <w:szCs w:val="24"/>
                <w:highlight w:val="none"/>
                <w:lang w:val="en-US" w:eastAsia="zh-CN"/>
              </w:rPr>
            </w:pPr>
            <w:r>
              <w:rPr>
                <w:rFonts w:hint="eastAsia" w:ascii="仿宋_GB2312" w:hAnsi="宋体" w:eastAsia="仿宋_GB2312"/>
                <w:b w:val="0"/>
                <w:bCs w:val="0"/>
                <w:color w:val="auto"/>
                <w:sz w:val="24"/>
                <w:szCs w:val="24"/>
                <w:highlight w:val="none"/>
                <w:lang w:val="en-US" w:eastAsia="zh-CN"/>
              </w:rPr>
              <w:t>保证金（万元）</w:t>
            </w:r>
          </w:p>
        </w:tc>
        <w:tc>
          <w:tcPr>
            <w:tcW w:w="8226" w:type="dxa"/>
            <w:gridSpan w:val="7"/>
            <w:vAlign w:val="center"/>
          </w:tcPr>
          <w:p>
            <w:pPr>
              <w:keepNext w:val="0"/>
              <w:keepLines w:val="0"/>
              <w:pageBreakBefore w:val="0"/>
              <w:kinsoku/>
              <w:wordWrap/>
              <w:overflowPunct/>
              <w:topLinePunct w:val="0"/>
              <w:bidi w:val="0"/>
              <w:adjustRightInd w:val="0"/>
              <w:snapToGrid w:val="0"/>
              <w:spacing w:line="440" w:lineRule="exact"/>
              <w:ind w:left="53" w:leftChars="25" w:firstLine="3381" w:firstLineChars="1409"/>
              <w:jc w:val="center"/>
              <w:rPr>
                <w:rFonts w:hint="default"/>
                <w:lang w:val="en-US" w:eastAsia="zh-CN"/>
              </w:rPr>
            </w:pPr>
            <w:r>
              <w:rPr>
                <w:rFonts w:hint="eastAsia" w:ascii="仿宋_GB2312" w:hAnsi="宋体" w:eastAsia="仿宋_GB2312"/>
                <w:b w:val="0"/>
                <w:bCs w:val="0"/>
                <w:color w:val="auto"/>
                <w:sz w:val="24"/>
                <w:szCs w:val="24"/>
                <w:highlight w:val="none"/>
              </w:rPr>
              <w:t>规划指标要求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246"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1425"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535"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603"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719"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705"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866"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1219" w:type="dxa"/>
            <w:vAlign w:val="center"/>
          </w:tcPr>
          <w:p>
            <w:pPr>
              <w:keepNext w:val="0"/>
              <w:keepLines w:val="0"/>
              <w:pageBreakBefore w:val="0"/>
              <w:kinsoku/>
              <w:wordWrap/>
              <w:overflowPunct/>
              <w:topLinePunct w:val="0"/>
              <w:bidi w:val="0"/>
              <w:spacing w:line="44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计算指标用地面积</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公顷</w:t>
            </w:r>
            <w:r>
              <w:rPr>
                <w:rFonts w:hint="eastAsia" w:ascii="仿宋_GB2312" w:hAnsi="宋体" w:eastAsia="仿宋_GB2312"/>
                <w:b w:val="0"/>
                <w:bCs w:val="0"/>
                <w:color w:val="auto"/>
                <w:sz w:val="24"/>
                <w:szCs w:val="24"/>
                <w:highlight w:val="none"/>
                <w:lang w:eastAsia="zh-CN"/>
              </w:rPr>
              <w:t>）</w:t>
            </w:r>
          </w:p>
        </w:tc>
        <w:tc>
          <w:tcPr>
            <w:tcW w:w="1218"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宗地使用权面积</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公顷</w:t>
            </w:r>
            <w:r>
              <w:rPr>
                <w:rFonts w:hint="eastAsia" w:ascii="仿宋_GB2312" w:hAnsi="宋体" w:eastAsia="仿宋_GB2312"/>
                <w:b w:val="0"/>
                <w:bCs w:val="0"/>
                <w:color w:val="auto"/>
                <w:sz w:val="24"/>
                <w:szCs w:val="24"/>
                <w:highlight w:val="none"/>
                <w:lang w:eastAsia="zh-CN"/>
              </w:rPr>
              <w:t>）</w:t>
            </w:r>
          </w:p>
        </w:tc>
        <w:tc>
          <w:tcPr>
            <w:tcW w:w="1125"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建筑密度</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w:t>
            </w:r>
            <w:r>
              <w:rPr>
                <w:rFonts w:hint="eastAsia" w:ascii="仿宋_GB2312" w:hAnsi="宋体" w:eastAsia="仿宋_GB2312"/>
                <w:b w:val="0"/>
                <w:bCs w:val="0"/>
                <w:color w:val="auto"/>
                <w:sz w:val="24"/>
                <w:szCs w:val="24"/>
                <w:highlight w:val="none"/>
                <w:lang w:eastAsia="zh-CN"/>
              </w:rPr>
              <w:t>）</w:t>
            </w:r>
          </w:p>
        </w:tc>
        <w:tc>
          <w:tcPr>
            <w:tcW w:w="1365"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容积率</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w:t>
            </w:r>
            <w:r>
              <w:rPr>
                <w:rFonts w:hint="eastAsia" w:ascii="仿宋_GB2312" w:hAnsi="宋体" w:eastAsia="仿宋_GB2312"/>
                <w:b w:val="0"/>
                <w:bCs w:val="0"/>
                <w:color w:val="auto"/>
                <w:sz w:val="24"/>
                <w:szCs w:val="24"/>
                <w:highlight w:val="none"/>
                <w:lang w:eastAsia="zh-CN"/>
              </w:rPr>
              <w:t>）</w:t>
            </w:r>
          </w:p>
        </w:tc>
        <w:tc>
          <w:tcPr>
            <w:tcW w:w="1395" w:type="dxa"/>
            <w:vAlign w:val="center"/>
          </w:tcPr>
          <w:p>
            <w:pPr>
              <w:keepNext w:val="0"/>
              <w:keepLines w:val="0"/>
              <w:pageBreakBefore w:val="0"/>
              <w:kinsoku/>
              <w:wordWrap/>
              <w:overflowPunct/>
              <w:topLinePunct w:val="0"/>
              <w:bidi w:val="0"/>
              <w:spacing w:line="440" w:lineRule="exact"/>
              <w:ind w:left="67" w:right="-53" w:rightChars="-25" w:hanging="50" w:hangingChars="21"/>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计容积率</w:t>
            </w:r>
            <w:r>
              <w:rPr>
                <w:rFonts w:hint="eastAsia" w:ascii="仿宋_GB2312" w:hAnsi="宋体" w:eastAsia="仿宋_GB2312"/>
                <w:b w:val="0"/>
                <w:bCs w:val="0"/>
                <w:color w:val="auto"/>
                <w:sz w:val="24"/>
                <w:szCs w:val="24"/>
                <w:highlight w:val="none"/>
                <w:lang w:val="en-US" w:eastAsia="zh-CN"/>
              </w:rPr>
              <w:t xml:space="preserve"> </w:t>
            </w:r>
            <w:r>
              <w:rPr>
                <w:rFonts w:hint="eastAsia" w:ascii="仿宋_GB2312" w:hAnsi="宋体" w:eastAsia="仿宋_GB2312"/>
                <w:b w:val="0"/>
                <w:bCs w:val="0"/>
                <w:color w:val="auto"/>
                <w:sz w:val="24"/>
                <w:szCs w:val="24"/>
                <w:highlight w:val="none"/>
              </w:rPr>
              <w:t>建筑面积</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平方米</w:t>
            </w:r>
            <w:r>
              <w:rPr>
                <w:rFonts w:hint="eastAsia" w:ascii="仿宋_GB2312" w:hAnsi="宋体" w:eastAsia="仿宋_GB2312"/>
                <w:b w:val="0"/>
                <w:bCs w:val="0"/>
                <w:color w:val="auto"/>
                <w:sz w:val="24"/>
                <w:szCs w:val="24"/>
                <w:highlight w:val="none"/>
                <w:lang w:eastAsia="zh-CN"/>
              </w:rPr>
              <w:t>）</w:t>
            </w:r>
          </w:p>
        </w:tc>
        <w:tc>
          <w:tcPr>
            <w:tcW w:w="1080"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绿地率</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w:t>
            </w:r>
            <w:r>
              <w:rPr>
                <w:rFonts w:hint="eastAsia" w:ascii="仿宋_GB2312" w:hAnsi="宋体" w:eastAsia="仿宋_GB2312"/>
                <w:b w:val="0"/>
                <w:bCs w:val="0"/>
                <w:color w:val="auto"/>
                <w:sz w:val="24"/>
                <w:szCs w:val="24"/>
                <w:highlight w:val="none"/>
                <w:lang w:eastAsia="zh-CN"/>
              </w:rPr>
              <w:t>）</w:t>
            </w:r>
          </w:p>
        </w:tc>
        <w:tc>
          <w:tcPr>
            <w:tcW w:w="824"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default"/>
                <w:lang w:val="en-US" w:eastAsia="zh-CN"/>
              </w:rPr>
            </w:pPr>
            <w:r>
              <w:rPr>
                <w:rFonts w:hint="eastAsia"/>
                <w:lang w:val="en-US" w:eastAsia="zh-CN"/>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246"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LM2022-26</w:t>
            </w:r>
          </w:p>
        </w:tc>
        <w:tc>
          <w:tcPr>
            <w:tcW w:w="142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Times New Roman"/>
                <w:b w:val="0"/>
                <w:bCs w:val="0"/>
                <w:color w:val="auto"/>
                <w:sz w:val="24"/>
                <w:szCs w:val="24"/>
                <w:highlight w:val="none"/>
                <w:lang w:val="en-US"/>
              </w:rPr>
            </w:pPr>
            <w:r>
              <w:rPr>
                <w:rFonts w:hint="eastAsia" w:ascii="仿宋_GB2312" w:hAnsi="宋体" w:eastAsia="仿宋_GB2312" w:cs="Times New Roman"/>
                <w:b w:val="0"/>
                <w:bCs w:val="0"/>
                <w:color w:val="auto"/>
                <w:sz w:val="24"/>
                <w:szCs w:val="24"/>
                <w:highlight w:val="none"/>
                <w:lang w:val="en-US" w:eastAsia="zh-CN"/>
              </w:rPr>
              <w:t>惠州产业转移工业园新材料片区</w:t>
            </w:r>
          </w:p>
        </w:tc>
        <w:tc>
          <w:tcPr>
            <w:tcW w:w="53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rPr>
            </w:pPr>
            <w:r>
              <w:rPr>
                <w:rFonts w:hint="eastAsia" w:ascii="仿宋_GB2312" w:hAnsi="宋体" w:eastAsia="仿宋_GB2312" w:cs="仿宋_GB2312"/>
                <w:b w:val="0"/>
                <w:bCs w:val="0"/>
                <w:color w:val="auto"/>
                <w:sz w:val="24"/>
                <w:szCs w:val="24"/>
                <w:highlight w:val="none"/>
                <w:lang w:val="en-US" w:eastAsia="zh-CN"/>
              </w:rPr>
              <w:t>LM-CZ-PL-A04-04-02</w:t>
            </w:r>
          </w:p>
        </w:tc>
        <w:tc>
          <w:tcPr>
            <w:tcW w:w="603"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工业用地</w:t>
            </w:r>
          </w:p>
        </w:tc>
        <w:tc>
          <w:tcPr>
            <w:tcW w:w="719"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646</w:t>
            </w:r>
          </w:p>
        </w:tc>
        <w:tc>
          <w:tcPr>
            <w:tcW w:w="705"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20</w:t>
            </w:r>
          </w:p>
        </w:tc>
        <w:tc>
          <w:tcPr>
            <w:tcW w:w="866"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323</w:t>
            </w:r>
          </w:p>
        </w:tc>
        <w:tc>
          <w:tcPr>
            <w:tcW w:w="1219"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1.589733</w:t>
            </w:r>
          </w:p>
        </w:tc>
        <w:tc>
          <w:tcPr>
            <w:tcW w:w="1218"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1.589733</w:t>
            </w:r>
          </w:p>
        </w:tc>
        <w:tc>
          <w:tcPr>
            <w:tcW w:w="112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≥30</w:t>
            </w:r>
          </w:p>
        </w:tc>
        <w:tc>
          <w:tcPr>
            <w:tcW w:w="136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1.2≤far≤3.5</w:t>
            </w:r>
          </w:p>
        </w:tc>
        <w:tc>
          <w:tcPr>
            <w:tcW w:w="139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19076.8-</w:t>
            </w:r>
          </w:p>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55640.65</w:t>
            </w:r>
          </w:p>
        </w:tc>
        <w:tc>
          <w:tcPr>
            <w:tcW w:w="108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15-20</w:t>
            </w:r>
          </w:p>
        </w:tc>
        <w:tc>
          <w:tcPr>
            <w:tcW w:w="824"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246"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LM2022-27</w:t>
            </w:r>
          </w:p>
        </w:tc>
        <w:tc>
          <w:tcPr>
            <w:tcW w:w="142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Times New Roman"/>
                <w:b w:val="0"/>
                <w:bCs w:val="0"/>
                <w:color w:val="auto"/>
                <w:sz w:val="24"/>
                <w:szCs w:val="24"/>
                <w:highlight w:val="none"/>
                <w:lang w:val="en-US" w:eastAsia="zh-CN"/>
              </w:rPr>
            </w:pPr>
            <w:r>
              <w:rPr>
                <w:rFonts w:hint="eastAsia" w:ascii="仿宋_GB2312" w:hAnsi="宋体" w:eastAsia="仿宋_GB2312" w:cs="Times New Roman"/>
                <w:b w:val="0"/>
                <w:bCs w:val="0"/>
                <w:color w:val="auto"/>
                <w:sz w:val="24"/>
                <w:szCs w:val="24"/>
                <w:highlight w:val="none"/>
                <w:lang w:val="en-US" w:eastAsia="zh-CN"/>
              </w:rPr>
              <w:t>惠州产业转移工业园新材料片区</w:t>
            </w:r>
          </w:p>
        </w:tc>
        <w:tc>
          <w:tcPr>
            <w:tcW w:w="53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LM-CZ-PL-A04-04-03</w:t>
            </w:r>
          </w:p>
        </w:tc>
        <w:tc>
          <w:tcPr>
            <w:tcW w:w="603"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工业用地</w:t>
            </w:r>
          </w:p>
        </w:tc>
        <w:tc>
          <w:tcPr>
            <w:tcW w:w="719"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1368</w:t>
            </w:r>
          </w:p>
        </w:tc>
        <w:tc>
          <w:tcPr>
            <w:tcW w:w="705" w:type="dxa"/>
            <w:tcMar>
              <w:left w:w="0" w:type="dxa"/>
              <w:right w:w="0" w:type="dxa"/>
            </w:tcMar>
            <w:vAlign w:val="center"/>
          </w:tcPr>
          <w:p>
            <w:pPr>
              <w:keepNext w:val="0"/>
              <w:keepLines w:val="0"/>
              <w:pageBreakBefore w:val="0"/>
              <w:widowControl/>
              <w:suppressLineNumbers w:val="0"/>
              <w:tabs>
                <w:tab w:val="left" w:pos="498"/>
              </w:tabs>
              <w:kinsoku/>
              <w:wordWrap/>
              <w:overflowPunct/>
              <w:topLinePunct w:val="0"/>
              <w:bidi w:val="0"/>
              <w:spacing w:line="440" w:lineRule="exact"/>
              <w:ind w:firstLine="240" w:firstLineChars="10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40</w:t>
            </w:r>
          </w:p>
        </w:tc>
        <w:tc>
          <w:tcPr>
            <w:tcW w:w="866"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684</w:t>
            </w:r>
          </w:p>
        </w:tc>
        <w:tc>
          <w:tcPr>
            <w:tcW w:w="1219"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3.36311</w:t>
            </w:r>
          </w:p>
        </w:tc>
        <w:tc>
          <w:tcPr>
            <w:tcW w:w="1218"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3.36311</w:t>
            </w:r>
          </w:p>
        </w:tc>
        <w:tc>
          <w:tcPr>
            <w:tcW w:w="112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≥30</w:t>
            </w:r>
          </w:p>
        </w:tc>
        <w:tc>
          <w:tcPr>
            <w:tcW w:w="136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1.2≤far≤3.5</w:t>
            </w:r>
          </w:p>
        </w:tc>
        <w:tc>
          <w:tcPr>
            <w:tcW w:w="139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40357.32-</w:t>
            </w:r>
          </w:p>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117708.85</w:t>
            </w:r>
          </w:p>
        </w:tc>
        <w:tc>
          <w:tcPr>
            <w:tcW w:w="108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15-20</w:t>
            </w:r>
          </w:p>
        </w:tc>
        <w:tc>
          <w:tcPr>
            <w:tcW w:w="824"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246"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LM2022-28</w:t>
            </w:r>
          </w:p>
        </w:tc>
        <w:tc>
          <w:tcPr>
            <w:tcW w:w="142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Times New Roman"/>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惠州产业转移工业园南片区</w:t>
            </w:r>
          </w:p>
        </w:tc>
        <w:tc>
          <w:tcPr>
            <w:tcW w:w="53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PL-01-0701-05</w:t>
            </w:r>
          </w:p>
        </w:tc>
        <w:tc>
          <w:tcPr>
            <w:tcW w:w="603"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工业用地</w:t>
            </w:r>
          </w:p>
        </w:tc>
        <w:tc>
          <w:tcPr>
            <w:tcW w:w="719"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159</w:t>
            </w:r>
          </w:p>
        </w:tc>
        <w:tc>
          <w:tcPr>
            <w:tcW w:w="705"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866"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79.5</w:t>
            </w:r>
          </w:p>
        </w:tc>
        <w:tc>
          <w:tcPr>
            <w:tcW w:w="1219"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0.38022</w:t>
            </w:r>
          </w:p>
        </w:tc>
        <w:tc>
          <w:tcPr>
            <w:tcW w:w="1218"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0.38022</w:t>
            </w:r>
          </w:p>
        </w:tc>
        <w:tc>
          <w:tcPr>
            <w:tcW w:w="112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≥30</w:t>
            </w:r>
          </w:p>
        </w:tc>
        <w:tc>
          <w:tcPr>
            <w:tcW w:w="136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1.2≤far≤2.0</w:t>
            </w:r>
          </w:p>
        </w:tc>
        <w:tc>
          <w:tcPr>
            <w:tcW w:w="139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4562.64-7604.4</w:t>
            </w:r>
          </w:p>
        </w:tc>
        <w:tc>
          <w:tcPr>
            <w:tcW w:w="108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15-20</w:t>
            </w:r>
          </w:p>
        </w:tc>
        <w:tc>
          <w:tcPr>
            <w:tcW w:w="824"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246"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LM2022-29</w:t>
            </w:r>
          </w:p>
        </w:tc>
        <w:tc>
          <w:tcPr>
            <w:tcW w:w="142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惠州产业转移工业园南片区</w:t>
            </w:r>
          </w:p>
        </w:tc>
        <w:tc>
          <w:tcPr>
            <w:tcW w:w="53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rPr>
            </w:pPr>
            <w:r>
              <w:rPr>
                <w:rFonts w:hint="eastAsia" w:ascii="仿宋_GB2312" w:hAnsi="宋体" w:eastAsia="仿宋_GB2312" w:cs="仿宋_GB2312"/>
                <w:b w:val="0"/>
                <w:bCs w:val="0"/>
                <w:color w:val="auto"/>
                <w:sz w:val="24"/>
                <w:szCs w:val="24"/>
                <w:highlight w:val="none"/>
                <w:lang w:val="en-US" w:eastAsia="zh-CN"/>
              </w:rPr>
              <w:t>PL-01-0701-04</w:t>
            </w:r>
          </w:p>
        </w:tc>
        <w:tc>
          <w:tcPr>
            <w:tcW w:w="603"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工业用地</w:t>
            </w:r>
          </w:p>
        </w:tc>
        <w:tc>
          <w:tcPr>
            <w:tcW w:w="719"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184</w:t>
            </w:r>
          </w:p>
        </w:tc>
        <w:tc>
          <w:tcPr>
            <w:tcW w:w="705"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866"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92</w:t>
            </w:r>
          </w:p>
        </w:tc>
        <w:tc>
          <w:tcPr>
            <w:tcW w:w="1219"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0.427413</w:t>
            </w:r>
          </w:p>
        </w:tc>
        <w:tc>
          <w:tcPr>
            <w:tcW w:w="1218"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0.427413</w:t>
            </w:r>
          </w:p>
        </w:tc>
        <w:tc>
          <w:tcPr>
            <w:tcW w:w="112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≥30</w:t>
            </w:r>
          </w:p>
        </w:tc>
        <w:tc>
          <w:tcPr>
            <w:tcW w:w="136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1.2≤far≤2.0</w:t>
            </w:r>
          </w:p>
        </w:tc>
        <w:tc>
          <w:tcPr>
            <w:tcW w:w="139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5128.96-8548.26</w:t>
            </w:r>
          </w:p>
        </w:tc>
        <w:tc>
          <w:tcPr>
            <w:tcW w:w="108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15-20</w:t>
            </w:r>
          </w:p>
        </w:tc>
        <w:tc>
          <w:tcPr>
            <w:tcW w:w="824"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246"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LM2022-30</w:t>
            </w:r>
          </w:p>
        </w:tc>
        <w:tc>
          <w:tcPr>
            <w:tcW w:w="142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惠州产业转移工业园北片区</w:t>
            </w:r>
          </w:p>
        </w:tc>
        <w:tc>
          <w:tcPr>
            <w:tcW w:w="53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JS5-18-04</w:t>
            </w:r>
          </w:p>
        </w:tc>
        <w:tc>
          <w:tcPr>
            <w:tcW w:w="603"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工业用地</w:t>
            </w:r>
          </w:p>
        </w:tc>
        <w:tc>
          <w:tcPr>
            <w:tcW w:w="719"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958</w:t>
            </w:r>
          </w:p>
        </w:tc>
        <w:tc>
          <w:tcPr>
            <w:tcW w:w="705"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866"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479</w:t>
            </w:r>
          </w:p>
        </w:tc>
        <w:tc>
          <w:tcPr>
            <w:tcW w:w="1219"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1.995509</w:t>
            </w:r>
          </w:p>
        </w:tc>
        <w:tc>
          <w:tcPr>
            <w:tcW w:w="1218"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1.995509</w:t>
            </w:r>
          </w:p>
        </w:tc>
        <w:tc>
          <w:tcPr>
            <w:tcW w:w="112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30-45</w:t>
            </w:r>
          </w:p>
        </w:tc>
        <w:tc>
          <w:tcPr>
            <w:tcW w:w="136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1.7≤far≤2.5</w:t>
            </w:r>
          </w:p>
        </w:tc>
        <w:tc>
          <w:tcPr>
            <w:tcW w:w="1395"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33923.66-49887.72</w:t>
            </w:r>
          </w:p>
        </w:tc>
        <w:tc>
          <w:tcPr>
            <w:tcW w:w="108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15-20</w:t>
            </w:r>
          </w:p>
        </w:tc>
        <w:tc>
          <w:tcPr>
            <w:tcW w:w="824"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50</w:t>
            </w:r>
          </w:p>
        </w:tc>
      </w:tr>
    </w:tbl>
    <w:p>
      <w:pPr>
        <w:pStyle w:val="4"/>
        <w:keepNext w:val="0"/>
        <w:keepLines w:val="0"/>
        <w:pageBreakBefore w:val="0"/>
        <w:kinsoku/>
        <w:wordWrap/>
        <w:overflowPunct/>
        <w:topLinePunct w:val="0"/>
        <w:autoSpaceDN/>
        <w:bidi w:val="0"/>
        <w:adjustRightInd/>
        <w:spacing w:line="440" w:lineRule="exact"/>
        <w:ind w:left="0" w:leftChars="0" w:firstLine="0" w:firstLineChars="0"/>
        <w:jc w:val="both"/>
        <w:textAlignment w:val="auto"/>
        <w:rPr>
          <w:rFonts w:hint="eastAsia" w:ascii="仿宋" w:hAnsi="仿宋" w:eastAsia="仿宋" w:cs="仿宋"/>
          <w:b w:val="0"/>
          <w:bCs w:val="0"/>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auto"/>
    <w:pitch w:val="default"/>
    <w:sig w:usb0="00000000" w:usb1="00000000"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0904E1E0"/>
    <w:multiLevelType w:val="singleLevel"/>
    <w:tmpl w:val="0904E1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YWJiMGZlNTA2N2E2N2RiYzhkNmI0OTI5OTYwMjEifQ=="/>
  </w:docVars>
  <w:rsids>
    <w:rsidRoot w:val="006F43B4"/>
    <w:rsid w:val="00055381"/>
    <w:rsid w:val="00156890"/>
    <w:rsid w:val="00291F43"/>
    <w:rsid w:val="003846E2"/>
    <w:rsid w:val="003D7B27"/>
    <w:rsid w:val="00502E7E"/>
    <w:rsid w:val="00593588"/>
    <w:rsid w:val="00626965"/>
    <w:rsid w:val="00651A33"/>
    <w:rsid w:val="006F43B4"/>
    <w:rsid w:val="00723053"/>
    <w:rsid w:val="008D4A14"/>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2F32FC"/>
    <w:rsid w:val="01E50B50"/>
    <w:rsid w:val="039F6E44"/>
    <w:rsid w:val="04AA17FE"/>
    <w:rsid w:val="067362EB"/>
    <w:rsid w:val="09402008"/>
    <w:rsid w:val="0AE876EE"/>
    <w:rsid w:val="0DD737A7"/>
    <w:rsid w:val="0E1D2DC4"/>
    <w:rsid w:val="0E2071F3"/>
    <w:rsid w:val="0E2C2AB5"/>
    <w:rsid w:val="101713C8"/>
    <w:rsid w:val="102713DB"/>
    <w:rsid w:val="110903F6"/>
    <w:rsid w:val="11871C18"/>
    <w:rsid w:val="12D666E0"/>
    <w:rsid w:val="13055F11"/>
    <w:rsid w:val="13DC2CB8"/>
    <w:rsid w:val="14D032C8"/>
    <w:rsid w:val="166F2BF1"/>
    <w:rsid w:val="1794192C"/>
    <w:rsid w:val="17EA1735"/>
    <w:rsid w:val="187E669C"/>
    <w:rsid w:val="188B2794"/>
    <w:rsid w:val="19C257C0"/>
    <w:rsid w:val="1A31098E"/>
    <w:rsid w:val="1B261919"/>
    <w:rsid w:val="1B2A00D1"/>
    <w:rsid w:val="1B3B78EC"/>
    <w:rsid w:val="1B5B7769"/>
    <w:rsid w:val="1BE73F47"/>
    <w:rsid w:val="1C9A1178"/>
    <w:rsid w:val="1D097D20"/>
    <w:rsid w:val="1E904230"/>
    <w:rsid w:val="1FB504FE"/>
    <w:rsid w:val="1FFA383F"/>
    <w:rsid w:val="20515ADA"/>
    <w:rsid w:val="222A162B"/>
    <w:rsid w:val="224E20DB"/>
    <w:rsid w:val="22937891"/>
    <w:rsid w:val="24610AB5"/>
    <w:rsid w:val="250733D2"/>
    <w:rsid w:val="26C167A6"/>
    <w:rsid w:val="27BC0E8D"/>
    <w:rsid w:val="285B64DE"/>
    <w:rsid w:val="29C55868"/>
    <w:rsid w:val="29E1316E"/>
    <w:rsid w:val="29F80FE7"/>
    <w:rsid w:val="29FB0865"/>
    <w:rsid w:val="2A473C52"/>
    <w:rsid w:val="2B773392"/>
    <w:rsid w:val="2CC9567C"/>
    <w:rsid w:val="2CD27F6C"/>
    <w:rsid w:val="2D930E3D"/>
    <w:rsid w:val="2F220213"/>
    <w:rsid w:val="2F442A87"/>
    <w:rsid w:val="2F841177"/>
    <w:rsid w:val="2FB546FC"/>
    <w:rsid w:val="30134210"/>
    <w:rsid w:val="31575D41"/>
    <w:rsid w:val="31D86DCF"/>
    <w:rsid w:val="32FF6567"/>
    <w:rsid w:val="34013B56"/>
    <w:rsid w:val="355D5FD5"/>
    <w:rsid w:val="357D1EB2"/>
    <w:rsid w:val="364058FF"/>
    <w:rsid w:val="36B610CD"/>
    <w:rsid w:val="37723635"/>
    <w:rsid w:val="37CE037F"/>
    <w:rsid w:val="38B15B46"/>
    <w:rsid w:val="38FE4822"/>
    <w:rsid w:val="3A2953C0"/>
    <w:rsid w:val="3A5C1E5A"/>
    <w:rsid w:val="3B34068A"/>
    <w:rsid w:val="3B5914C3"/>
    <w:rsid w:val="3B694D14"/>
    <w:rsid w:val="3B9610F4"/>
    <w:rsid w:val="3BB71C2D"/>
    <w:rsid w:val="3BC82C9D"/>
    <w:rsid w:val="3BD038FF"/>
    <w:rsid w:val="3BD61A36"/>
    <w:rsid w:val="3D152C6B"/>
    <w:rsid w:val="3EA37E97"/>
    <w:rsid w:val="3EB968CD"/>
    <w:rsid w:val="3EC318D5"/>
    <w:rsid w:val="3EC82FB3"/>
    <w:rsid w:val="3F142B57"/>
    <w:rsid w:val="3F1A7FAA"/>
    <w:rsid w:val="3F3E0AB4"/>
    <w:rsid w:val="3F984213"/>
    <w:rsid w:val="3F9F1F66"/>
    <w:rsid w:val="402B776A"/>
    <w:rsid w:val="420A51B3"/>
    <w:rsid w:val="428E2D29"/>
    <w:rsid w:val="43434F84"/>
    <w:rsid w:val="43D3409E"/>
    <w:rsid w:val="44A86E9A"/>
    <w:rsid w:val="45696BDB"/>
    <w:rsid w:val="457C263C"/>
    <w:rsid w:val="45D530D3"/>
    <w:rsid w:val="465B0945"/>
    <w:rsid w:val="48526CD7"/>
    <w:rsid w:val="486B4F45"/>
    <w:rsid w:val="48AD19E8"/>
    <w:rsid w:val="4967456F"/>
    <w:rsid w:val="49956A4F"/>
    <w:rsid w:val="49B303BC"/>
    <w:rsid w:val="4A730934"/>
    <w:rsid w:val="4B8E5FD0"/>
    <w:rsid w:val="4C3E0A00"/>
    <w:rsid w:val="4CA65793"/>
    <w:rsid w:val="4D0F3BE0"/>
    <w:rsid w:val="4D8A139E"/>
    <w:rsid w:val="4F42590E"/>
    <w:rsid w:val="4F7A44ED"/>
    <w:rsid w:val="4F9358A7"/>
    <w:rsid w:val="4FB870F0"/>
    <w:rsid w:val="5004570C"/>
    <w:rsid w:val="508C5CA4"/>
    <w:rsid w:val="50C44115"/>
    <w:rsid w:val="50C65541"/>
    <w:rsid w:val="50C67C69"/>
    <w:rsid w:val="515E3131"/>
    <w:rsid w:val="51DA5EFA"/>
    <w:rsid w:val="52146C75"/>
    <w:rsid w:val="523F6E00"/>
    <w:rsid w:val="52EC3EDC"/>
    <w:rsid w:val="5316652D"/>
    <w:rsid w:val="53AC3B6C"/>
    <w:rsid w:val="53BD4A78"/>
    <w:rsid w:val="54A67235"/>
    <w:rsid w:val="55C0458D"/>
    <w:rsid w:val="56242D6E"/>
    <w:rsid w:val="58D008AE"/>
    <w:rsid w:val="59B92E76"/>
    <w:rsid w:val="5B745643"/>
    <w:rsid w:val="5C8578BA"/>
    <w:rsid w:val="5CD9542F"/>
    <w:rsid w:val="5EB43F13"/>
    <w:rsid w:val="5F28567D"/>
    <w:rsid w:val="5F300F59"/>
    <w:rsid w:val="5FCF5D35"/>
    <w:rsid w:val="616B0C9C"/>
    <w:rsid w:val="6197308A"/>
    <w:rsid w:val="62844F25"/>
    <w:rsid w:val="635A435F"/>
    <w:rsid w:val="645D53B8"/>
    <w:rsid w:val="677060AD"/>
    <w:rsid w:val="6838006B"/>
    <w:rsid w:val="683F3018"/>
    <w:rsid w:val="684568B6"/>
    <w:rsid w:val="68BD0B09"/>
    <w:rsid w:val="68CD7763"/>
    <w:rsid w:val="6A4F4329"/>
    <w:rsid w:val="6ABC6136"/>
    <w:rsid w:val="6AF12B3E"/>
    <w:rsid w:val="6C826573"/>
    <w:rsid w:val="6C8919B8"/>
    <w:rsid w:val="6CE76051"/>
    <w:rsid w:val="6E914841"/>
    <w:rsid w:val="6EB1052D"/>
    <w:rsid w:val="6FB113CC"/>
    <w:rsid w:val="704E7EC8"/>
    <w:rsid w:val="71576811"/>
    <w:rsid w:val="71B67D83"/>
    <w:rsid w:val="71CF0BED"/>
    <w:rsid w:val="71D66846"/>
    <w:rsid w:val="723C3332"/>
    <w:rsid w:val="726873F0"/>
    <w:rsid w:val="729D59B3"/>
    <w:rsid w:val="72BE08F6"/>
    <w:rsid w:val="72CA08CF"/>
    <w:rsid w:val="731759FD"/>
    <w:rsid w:val="734164C7"/>
    <w:rsid w:val="746E7275"/>
    <w:rsid w:val="751A7E63"/>
    <w:rsid w:val="76A333E3"/>
    <w:rsid w:val="76AC6A44"/>
    <w:rsid w:val="77852CA3"/>
    <w:rsid w:val="778B6418"/>
    <w:rsid w:val="779A0D22"/>
    <w:rsid w:val="77DC43D6"/>
    <w:rsid w:val="79D044EF"/>
    <w:rsid w:val="7A436452"/>
    <w:rsid w:val="7A6A3136"/>
    <w:rsid w:val="7AFD1570"/>
    <w:rsid w:val="7B250D17"/>
    <w:rsid w:val="7B6E62FB"/>
    <w:rsid w:val="7BB44569"/>
    <w:rsid w:val="7CFD5584"/>
    <w:rsid w:val="7D810E5F"/>
    <w:rsid w:val="7D84768B"/>
    <w:rsid w:val="7DA912DF"/>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page number"/>
    <w:basedOn w:val="10"/>
    <w:qFormat/>
    <w:uiPriority w:val="0"/>
  </w:style>
  <w:style w:type="paragraph" w:customStyle="1" w:styleId="12">
    <w:name w:val="批注文字 New New"/>
    <w:basedOn w:val="1"/>
    <w:qFormat/>
    <w:uiPriority w:val="0"/>
    <w:pPr>
      <w:jc w:val="left"/>
    </w:pPr>
    <w:rPr>
      <w:szCs w:val="20"/>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3838</Words>
  <Characters>4481</Characters>
  <Lines>27</Lines>
  <Paragraphs>7</Paragraphs>
  <TotalTime>1</TotalTime>
  <ScaleCrop>false</ScaleCrop>
  <LinksUpToDate>false</LinksUpToDate>
  <CharactersWithSpaces>4537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2022-10-26T08:37:00Z</cp:lastPrinted>
  <dcterms:modified xsi:type="dcterms:W3CDTF">2022-11-24T09:18:00Z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6A04F514BDA047D18C36E348780576E0</vt:lpwstr>
  </property>
</Properties>
</file>