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bidi w:val="0"/>
        <w:spacing w:line="440" w:lineRule="exact"/>
        <w:jc w:val="center"/>
        <w:rPr>
          <w:rFonts w:hint="eastAsia" w:ascii="方正小标宋简体" w:hAnsi="方正小标宋简体" w:eastAsia="方正小标宋简体" w:cs="方正小标宋简体"/>
          <w:b w:val="0"/>
          <w:bCs w:val="0"/>
          <w:color w:val="auto"/>
          <w:spacing w:val="3"/>
          <w:sz w:val="44"/>
          <w:szCs w:val="44"/>
          <w:highlight w:val="none"/>
        </w:rPr>
      </w:pPr>
      <w:r>
        <w:rPr>
          <w:rFonts w:hint="eastAsia" w:ascii="方正小标宋简体" w:hAnsi="方正小标宋简体" w:eastAsia="方正小标宋简体" w:cs="方正小标宋简体"/>
          <w:b w:val="0"/>
          <w:bCs w:val="0"/>
          <w:color w:val="auto"/>
          <w:spacing w:val="3"/>
          <w:sz w:val="44"/>
          <w:szCs w:val="44"/>
          <w:highlight w:val="none"/>
        </w:rPr>
        <w:t>惠州市</w:t>
      </w:r>
      <w:r>
        <w:rPr>
          <w:rFonts w:hint="eastAsia" w:ascii="方正小标宋简体" w:hAnsi="方正小标宋简体" w:eastAsia="方正小标宋简体" w:cs="方正小标宋简体"/>
          <w:b w:val="0"/>
          <w:bCs w:val="0"/>
          <w:color w:val="auto"/>
          <w:spacing w:val="3"/>
          <w:sz w:val="44"/>
          <w:szCs w:val="44"/>
          <w:highlight w:val="none"/>
          <w:lang w:eastAsia="zh-CN"/>
        </w:rPr>
        <w:t>龙门县</w:t>
      </w:r>
      <w:r>
        <w:rPr>
          <w:rFonts w:hint="eastAsia" w:ascii="方正小标宋简体" w:hAnsi="方正小标宋简体" w:eastAsia="方正小标宋简体" w:cs="方正小标宋简体"/>
          <w:b w:val="0"/>
          <w:bCs w:val="0"/>
          <w:color w:val="auto"/>
          <w:spacing w:val="3"/>
          <w:sz w:val="44"/>
          <w:szCs w:val="44"/>
          <w:highlight w:val="none"/>
        </w:rPr>
        <w:t>国有建设用地使用权</w:t>
      </w:r>
    </w:p>
    <w:p>
      <w:pPr>
        <w:keepNext w:val="0"/>
        <w:keepLines w:val="0"/>
        <w:pageBreakBefore w:val="0"/>
        <w:tabs>
          <w:tab w:val="left" w:pos="11340"/>
        </w:tabs>
        <w:kinsoku/>
        <w:wordWrap/>
        <w:overflowPunct/>
        <w:topLinePunct w:val="0"/>
        <w:bidi w:val="0"/>
        <w:spacing w:line="440" w:lineRule="exact"/>
        <w:ind w:left="4018" w:hanging="4014" w:hangingChars="90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3"/>
          <w:sz w:val="44"/>
          <w:szCs w:val="44"/>
          <w:highlight w:val="none"/>
        </w:rPr>
        <w:t>网上挂牌</w:t>
      </w:r>
      <w:r>
        <w:rPr>
          <w:rFonts w:hint="eastAsia" w:ascii="方正小标宋简体" w:hAnsi="方正小标宋简体" w:eastAsia="方正小标宋简体" w:cs="方正小标宋简体"/>
          <w:b w:val="0"/>
          <w:bCs w:val="0"/>
          <w:color w:val="auto"/>
          <w:sz w:val="44"/>
          <w:szCs w:val="44"/>
          <w:highlight w:val="none"/>
        </w:rPr>
        <w:t>出让公告</w:t>
      </w:r>
    </w:p>
    <w:p>
      <w:pPr>
        <w:keepNext w:val="0"/>
        <w:keepLines w:val="0"/>
        <w:pageBreakBefore w:val="0"/>
        <w:kinsoku/>
        <w:wordWrap/>
        <w:overflowPunct/>
        <w:topLinePunct w:val="0"/>
        <w:autoSpaceDE/>
        <w:autoSpaceDN/>
        <w:bidi w:val="0"/>
        <w:spacing w:line="440" w:lineRule="exact"/>
        <w:jc w:val="center"/>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龙自然资挂</w:t>
      </w:r>
      <w:r>
        <w:rPr>
          <w:rFonts w:hint="eastAsia" w:ascii="仿宋_GB2312" w:hAnsi="仿宋_GB2312" w:eastAsia="仿宋_GB2312" w:cs="仿宋_GB2312"/>
          <w:b w:val="0"/>
          <w:bCs w:val="0"/>
          <w:color w:val="auto"/>
          <w:sz w:val="32"/>
          <w:szCs w:val="32"/>
          <w:highlight w:val="none"/>
          <w:lang w:eastAsia="zh-CN"/>
        </w:rPr>
        <w:t>﹝2022﹞</w:t>
      </w:r>
      <w:r>
        <w:rPr>
          <w:rFonts w:hint="eastAsia" w:ascii="仿宋_GB2312" w:hAnsi="仿宋_GB2312" w:eastAsia="仿宋_GB2312" w:cs="仿宋_GB2312"/>
          <w:b w:val="0"/>
          <w:bCs w:val="0"/>
          <w:color w:val="auto"/>
          <w:sz w:val="32"/>
          <w:szCs w:val="32"/>
          <w:highlight w:val="none"/>
          <w:lang w:val="en-US" w:eastAsia="zh-CN"/>
        </w:rPr>
        <w:t>002</w:t>
      </w:r>
      <w:r>
        <w:rPr>
          <w:rFonts w:hint="eastAsia" w:ascii="仿宋_GB2312" w:hAnsi="仿宋_GB2312" w:eastAsia="仿宋_GB2312" w:cs="仿宋_GB2312"/>
          <w:b w:val="0"/>
          <w:bCs w:val="0"/>
          <w:color w:val="auto"/>
          <w:sz w:val="32"/>
          <w:szCs w:val="32"/>
          <w:highlight w:val="none"/>
          <w:lang w:eastAsia="zh-CN"/>
        </w:rPr>
        <w:t>号</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根据《招标拍卖挂牌出让国有建设用地使用权规定》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国土资源部令第39号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和《广东省土地使用权交易市场管理规定》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广东省人民政府令第79号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的规定，经批准，</w:t>
      </w:r>
      <w:r>
        <w:rPr>
          <w:rFonts w:hint="eastAsia" w:ascii="仿宋_GB2312" w:hAnsi="仿宋_GB2312" w:eastAsia="仿宋_GB2312" w:cs="仿宋_GB2312"/>
          <w:b w:val="0"/>
          <w:bCs w:val="0"/>
          <w:color w:val="auto"/>
          <w:sz w:val="32"/>
          <w:szCs w:val="32"/>
          <w:highlight w:val="none"/>
          <w:lang w:eastAsia="zh-CN"/>
        </w:rPr>
        <w:t>我</w:t>
      </w:r>
      <w:r>
        <w:rPr>
          <w:rFonts w:hint="eastAsia" w:ascii="仿宋_GB2312" w:hAnsi="仿宋_GB2312" w:eastAsia="仿宋_GB2312" w:cs="仿宋_GB2312"/>
          <w:b w:val="0"/>
          <w:bCs w:val="0"/>
          <w:color w:val="auto"/>
          <w:sz w:val="32"/>
          <w:szCs w:val="32"/>
          <w:highlight w:val="none"/>
        </w:rPr>
        <w:t>局决定以网上挂牌方式公开出让下列</w:t>
      </w:r>
      <w:r>
        <w:rPr>
          <w:rFonts w:hint="eastAsia" w:ascii="仿宋_GB2312" w:hAnsi="仿宋_GB2312" w:eastAsia="仿宋_GB2312" w:cs="仿宋_GB2312"/>
          <w:b w:val="0"/>
          <w:bCs w:val="0"/>
          <w:color w:val="auto"/>
          <w:sz w:val="32"/>
          <w:szCs w:val="32"/>
          <w:highlight w:val="none"/>
          <w:lang w:eastAsia="zh-CN"/>
        </w:rPr>
        <w:t>三宗</w:t>
      </w:r>
      <w:r>
        <w:rPr>
          <w:rFonts w:hint="eastAsia" w:ascii="仿宋_GB2312" w:hAnsi="仿宋_GB2312" w:eastAsia="仿宋_GB2312" w:cs="仿宋_GB2312"/>
          <w:b w:val="0"/>
          <w:bCs w:val="0"/>
          <w:color w:val="auto"/>
          <w:sz w:val="32"/>
          <w:szCs w:val="32"/>
          <w:highlight w:val="none"/>
        </w:rPr>
        <w:t>国有建设用地使用权。现将有关事项公告如下：</w:t>
      </w:r>
    </w:p>
    <w:p>
      <w:pPr>
        <w:keepNext w:val="0"/>
        <w:keepLines w:val="0"/>
        <w:pageBreakBefore w:val="0"/>
        <w:numPr>
          <w:ilvl w:val="0"/>
          <w:numId w:val="1"/>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网上挂牌出让地块基本情况及规划指标要求（见附表）</w:t>
      </w:r>
    </w:p>
    <w:p>
      <w:pPr>
        <w:keepNext w:val="0"/>
        <w:keepLines w:val="0"/>
        <w:pageBreakBefore w:val="0"/>
        <w:numPr>
          <w:ilvl w:val="0"/>
          <w:numId w:val="1"/>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挂牌起始价及加价幅度</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LM2022-22号地块</w:t>
      </w:r>
      <w:r>
        <w:rPr>
          <w:rFonts w:hint="eastAsia" w:ascii="仿宋_GB2312" w:hAnsi="仿宋_GB2312" w:eastAsia="仿宋_GB2312" w:cs="仿宋_GB2312"/>
          <w:b w:val="0"/>
          <w:bCs w:val="0"/>
          <w:color w:val="auto"/>
          <w:sz w:val="32"/>
          <w:szCs w:val="32"/>
          <w:highlight w:val="none"/>
          <w:lang w:eastAsia="zh-CN"/>
        </w:rPr>
        <w:t>挂牌起始价为人民币</w:t>
      </w:r>
      <w:r>
        <w:rPr>
          <w:rFonts w:hint="eastAsia" w:ascii="仿宋_GB2312" w:hAnsi="仿宋_GB2312" w:eastAsia="仿宋_GB2312" w:cs="仿宋_GB2312"/>
          <w:b w:val="0"/>
          <w:bCs w:val="0"/>
          <w:color w:val="auto"/>
          <w:sz w:val="32"/>
          <w:szCs w:val="32"/>
          <w:highlight w:val="none"/>
          <w:lang w:val="en-US" w:eastAsia="zh-CN"/>
        </w:rPr>
        <w:t xml:space="preserve">8642万元 </w:t>
      </w:r>
      <w:r>
        <w:rPr>
          <w:rFonts w:hint="eastAsia" w:ascii="仿宋_GB2312" w:hAnsi="仿宋_GB2312" w:eastAsia="仿宋_GB2312" w:cs="仿宋_GB2312"/>
          <w:b w:val="0"/>
          <w:bCs w:val="0"/>
          <w:color w:val="auto"/>
          <w:sz w:val="32"/>
          <w:szCs w:val="32"/>
          <w:highlight w:val="none"/>
          <w:lang w:eastAsia="zh-CN"/>
        </w:rPr>
        <w:t>，每次报价加价幅度为人民币</w:t>
      </w:r>
      <w:r>
        <w:rPr>
          <w:rFonts w:hint="eastAsia" w:ascii="仿宋_GB2312" w:hAnsi="仿宋_GB2312" w:eastAsia="仿宋_GB2312" w:cs="仿宋_GB2312"/>
          <w:b w:val="0"/>
          <w:bCs w:val="0"/>
          <w:color w:val="auto"/>
          <w:sz w:val="32"/>
          <w:szCs w:val="32"/>
          <w:highlight w:val="none"/>
          <w:lang w:val="en-US" w:eastAsia="zh-CN"/>
        </w:rPr>
        <w:t>250万</w:t>
      </w:r>
      <w:r>
        <w:rPr>
          <w:rFonts w:hint="eastAsia" w:ascii="仿宋_GB2312" w:hAnsi="仿宋_GB2312" w:eastAsia="仿宋_GB2312" w:cs="仿宋_GB2312"/>
          <w:b w:val="0"/>
          <w:bCs w:val="0"/>
          <w:color w:val="auto"/>
          <w:sz w:val="32"/>
          <w:szCs w:val="32"/>
          <w:highlight w:val="none"/>
          <w:lang w:eastAsia="zh-CN"/>
        </w:rPr>
        <w:t>元的整数倍；</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LM2022-23号地块</w:t>
      </w:r>
      <w:r>
        <w:rPr>
          <w:rFonts w:hint="eastAsia" w:ascii="仿宋_GB2312" w:hAnsi="仿宋_GB2312" w:eastAsia="仿宋_GB2312" w:cs="仿宋_GB2312"/>
          <w:b w:val="0"/>
          <w:bCs w:val="0"/>
          <w:color w:val="auto"/>
          <w:sz w:val="32"/>
          <w:szCs w:val="32"/>
          <w:highlight w:val="none"/>
          <w:lang w:eastAsia="zh-CN"/>
        </w:rPr>
        <w:t>挂牌起始价为人民币</w:t>
      </w:r>
      <w:r>
        <w:rPr>
          <w:rFonts w:hint="eastAsia" w:ascii="仿宋_GB2312" w:hAnsi="仿宋_GB2312" w:eastAsia="仿宋_GB2312" w:cs="仿宋_GB2312"/>
          <w:b w:val="0"/>
          <w:bCs w:val="0"/>
          <w:color w:val="auto"/>
          <w:sz w:val="32"/>
          <w:szCs w:val="32"/>
          <w:highlight w:val="none"/>
          <w:lang w:val="en-US" w:eastAsia="zh-CN"/>
        </w:rPr>
        <w:t xml:space="preserve">1277万元 </w:t>
      </w:r>
      <w:r>
        <w:rPr>
          <w:rFonts w:hint="eastAsia" w:ascii="仿宋_GB2312" w:hAnsi="仿宋_GB2312" w:eastAsia="仿宋_GB2312" w:cs="仿宋_GB2312"/>
          <w:b w:val="0"/>
          <w:bCs w:val="0"/>
          <w:color w:val="auto"/>
          <w:sz w:val="32"/>
          <w:szCs w:val="32"/>
          <w:highlight w:val="none"/>
          <w:lang w:eastAsia="zh-CN"/>
        </w:rPr>
        <w:t>，每次报价加价幅度为人民币</w:t>
      </w:r>
      <w:r>
        <w:rPr>
          <w:rFonts w:hint="eastAsia" w:ascii="仿宋_GB2312" w:hAnsi="仿宋_GB2312" w:eastAsia="仿宋_GB2312" w:cs="仿宋_GB2312"/>
          <w:b w:val="0"/>
          <w:bCs w:val="0"/>
          <w:color w:val="auto"/>
          <w:sz w:val="32"/>
          <w:szCs w:val="32"/>
          <w:highlight w:val="none"/>
          <w:lang w:val="en-US" w:eastAsia="zh-CN"/>
        </w:rPr>
        <w:t>40万</w:t>
      </w:r>
      <w:r>
        <w:rPr>
          <w:rFonts w:hint="eastAsia" w:ascii="仿宋_GB2312" w:hAnsi="仿宋_GB2312" w:eastAsia="仿宋_GB2312" w:cs="仿宋_GB2312"/>
          <w:b w:val="0"/>
          <w:bCs w:val="0"/>
          <w:color w:val="auto"/>
          <w:sz w:val="32"/>
          <w:szCs w:val="32"/>
          <w:highlight w:val="none"/>
          <w:lang w:eastAsia="zh-CN"/>
        </w:rPr>
        <w:t>元的整数倍；</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LM2022-24号地块</w:t>
      </w:r>
      <w:r>
        <w:rPr>
          <w:rFonts w:hint="eastAsia" w:ascii="仿宋_GB2312" w:hAnsi="仿宋_GB2312" w:eastAsia="仿宋_GB2312" w:cs="仿宋_GB2312"/>
          <w:b w:val="0"/>
          <w:bCs w:val="0"/>
          <w:color w:val="auto"/>
          <w:sz w:val="32"/>
          <w:szCs w:val="32"/>
          <w:highlight w:val="none"/>
          <w:lang w:eastAsia="zh-CN"/>
        </w:rPr>
        <w:t>挂牌起始价为人民币</w:t>
      </w:r>
      <w:r>
        <w:rPr>
          <w:rFonts w:hint="eastAsia" w:ascii="仿宋_GB2312" w:hAnsi="仿宋_GB2312" w:eastAsia="仿宋_GB2312" w:cs="仿宋_GB2312"/>
          <w:b w:val="0"/>
          <w:bCs w:val="0"/>
          <w:color w:val="auto"/>
          <w:sz w:val="32"/>
          <w:szCs w:val="32"/>
          <w:highlight w:val="none"/>
          <w:lang w:val="en-US" w:eastAsia="zh-CN"/>
        </w:rPr>
        <w:t xml:space="preserve">1410万元 </w:t>
      </w:r>
      <w:r>
        <w:rPr>
          <w:rFonts w:hint="eastAsia" w:ascii="仿宋_GB2312" w:hAnsi="仿宋_GB2312" w:eastAsia="仿宋_GB2312" w:cs="仿宋_GB2312"/>
          <w:b w:val="0"/>
          <w:bCs w:val="0"/>
          <w:color w:val="auto"/>
          <w:sz w:val="32"/>
          <w:szCs w:val="32"/>
          <w:highlight w:val="none"/>
          <w:lang w:eastAsia="zh-CN"/>
        </w:rPr>
        <w:t>，每次报价加价幅度为人民币</w:t>
      </w:r>
      <w:r>
        <w:rPr>
          <w:rFonts w:hint="eastAsia" w:ascii="仿宋_GB2312" w:hAnsi="仿宋_GB2312" w:eastAsia="仿宋_GB2312" w:cs="仿宋_GB2312"/>
          <w:b w:val="0"/>
          <w:bCs w:val="0"/>
          <w:color w:val="auto"/>
          <w:sz w:val="32"/>
          <w:szCs w:val="32"/>
          <w:highlight w:val="none"/>
          <w:lang w:val="en-US" w:eastAsia="zh-CN"/>
        </w:rPr>
        <w:t>40万</w:t>
      </w:r>
      <w:r>
        <w:rPr>
          <w:rFonts w:hint="eastAsia" w:ascii="仿宋_GB2312" w:hAnsi="仿宋_GB2312" w:eastAsia="仿宋_GB2312" w:cs="仿宋_GB2312"/>
          <w:b w:val="0"/>
          <w:bCs w:val="0"/>
          <w:color w:val="auto"/>
          <w:sz w:val="32"/>
          <w:szCs w:val="32"/>
          <w:highlight w:val="none"/>
          <w:lang w:eastAsia="zh-CN"/>
        </w:rPr>
        <w:t>元的整数倍。</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三、时间安排</w:t>
      </w:r>
    </w:p>
    <w:p>
      <w:pPr>
        <w:pStyle w:val="2"/>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（一）公告时间：</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10</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11</w:t>
      </w:r>
      <w:r>
        <w:rPr>
          <w:rFonts w:hint="eastAsia" w:ascii="仿宋_GB2312" w:hAnsi="仿宋_GB2312" w:eastAsia="仿宋_GB2312" w:cs="仿宋_GB2312"/>
          <w:b w:val="0"/>
          <w:bCs w:val="0"/>
          <w:color w:val="auto"/>
          <w:sz w:val="32"/>
          <w:szCs w:val="32"/>
          <w:highlight w:val="none"/>
        </w:rPr>
        <w:t>日至</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10</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30</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eastAsia="zh-CN"/>
        </w:rPr>
        <w:t>。</w:t>
      </w:r>
    </w:p>
    <w:p>
      <w:pPr>
        <w:pStyle w:val="2"/>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（二）网上挂牌竞买时间：</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10</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31</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lang w:val="en-US" w:eastAsia="zh-CN"/>
        </w:rPr>
        <w:t>9</w:t>
      </w:r>
      <w:r>
        <w:rPr>
          <w:rFonts w:hint="eastAsia" w:ascii="仿宋_GB2312" w:hAnsi="仿宋_GB2312" w:eastAsia="仿宋_GB2312" w:cs="仿宋_GB2312"/>
          <w:b w:val="0"/>
          <w:bCs w:val="0"/>
          <w:color w:val="auto"/>
          <w:sz w:val="32"/>
          <w:szCs w:val="32"/>
          <w:highlight w:val="none"/>
        </w:rPr>
        <w:t>时至</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b w:val="0"/>
          <w:bCs w:val="0"/>
          <w:color w:val="auto"/>
          <w:sz w:val="32"/>
          <w:szCs w:val="32"/>
          <w:highlight w:val="none"/>
          <w:u w:val="single"/>
          <w:lang w:val="en-US" w:eastAsia="zh-CN"/>
        </w:rPr>
        <w:t>11</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14</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lang w:val="en-US" w:eastAsia="zh-CN"/>
        </w:rPr>
        <w:t>10</w:t>
      </w:r>
      <w:r>
        <w:rPr>
          <w:rFonts w:hint="eastAsia" w:ascii="仿宋_GB2312" w:hAnsi="仿宋_GB2312"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竞买保证金到账截止时间为：</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b w:val="0"/>
          <w:bCs w:val="0"/>
          <w:color w:val="auto"/>
          <w:sz w:val="32"/>
          <w:szCs w:val="32"/>
          <w:highlight w:val="none"/>
          <w:u w:val="single"/>
          <w:lang w:val="en-US" w:eastAsia="zh-CN"/>
        </w:rPr>
        <w:t>11</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14</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u w:val="single"/>
          <w:lang w:val="en-US" w:eastAsia="zh-CN"/>
        </w:rPr>
        <w:t>9</w:t>
      </w:r>
      <w:r>
        <w:rPr>
          <w:rFonts w:hint="eastAsia" w:ascii="仿宋_GB2312" w:hAnsi="仿宋_GB2312"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四、竞买资格及要求</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中华人民共和国境内外的法人、自然人和其他组织，符合竞买资格条件的,均可通过网上挂牌交易系统，申请参加电子挂牌交易活动，法律、法规另有规定的从其规定。</w:t>
      </w:r>
    </w:p>
    <w:p>
      <w:pPr>
        <w:pStyle w:val="3"/>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仿宋_GB2312" w:hAnsi="仿宋_GB2312" w:eastAsia="仿宋_GB2312" w:cs="仿宋_GB2312"/>
          <w:b w:val="0"/>
          <w:bCs w:val="0"/>
          <w:color w:val="auto"/>
          <w:szCs w:val="32"/>
          <w:highlight w:val="none"/>
        </w:rPr>
      </w:pPr>
      <w:r>
        <w:rPr>
          <w:rFonts w:hint="eastAsia" w:ascii="仿宋_GB2312" w:hAnsi="仿宋_GB2312" w:eastAsia="仿宋_GB2312" w:cs="仿宋_GB2312"/>
          <w:b w:val="0"/>
          <w:bCs w:val="0"/>
          <w:color w:val="auto"/>
          <w:szCs w:val="32"/>
          <w:highlight w:val="none"/>
        </w:rPr>
        <w:t>（一）交纳足额竞买保证金；</w:t>
      </w:r>
    </w:p>
    <w:p>
      <w:pPr>
        <w:pStyle w:val="7"/>
        <w:keepNext w:val="0"/>
        <w:keepLines w:val="0"/>
        <w:pageBreakBefore w:val="0"/>
        <w:widowControl/>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（二）存在下列行为之一的企业及其控股股东，不得参与竞买上述地块：</w:t>
      </w:r>
    </w:p>
    <w:p>
      <w:pPr>
        <w:pStyle w:val="7"/>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1、伪造公文骗取用地行为；</w:t>
      </w:r>
    </w:p>
    <w:p>
      <w:pPr>
        <w:pStyle w:val="7"/>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2、非法转让土地使用权行为；</w:t>
      </w:r>
    </w:p>
    <w:p>
      <w:pPr>
        <w:pStyle w:val="7"/>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3、因企业原因造成土地闲置一年以上且至报名日止未处理完结；</w:t>
      </w:r>
    </w:p>
    <w:p>
      <w:pPr>
        <w:pStyle w:val="7"/>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4、未按出让合同约定条件开发利用土地且至报名日止未处理完结；</w:t>
      </w:r>
    </w:p>
    <w:p>
      <w:pPr>
        <w:pStyle w:val="7"/>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5、至报名日止仍拖欠政府地价款</w:t>
      </w:r>
      <w:r>
        <w:rPr>
          <w:rFonts w:hint="eastAsia" w:ascii="仿宋_GB2312" w:hAnsi="仿宋_GB2312" w:eastAsia="仿宋_GB2312" w:cs="仿宋_GB2312"/>
          <w:b w:val="0"/>
          <w:bCs w:val="0"/>
          <w:color w:val="auto"/>
          <w:sz w:val="32"/>
          <w:szCs w:val="32"/>
          <w:highlight w:val="none"/>
          <w:lang w:eastAsia="zh-CN"/>
        </w:rPr>
        <w:t>。</w:t>
      </w:r>
    </w:p>
    <w:p>
      <w:pPr>
        <w:pStyle w:val="3"/>
        <w:keepNext w:val="0"/>
        <w:keepLines w:val="0"/>
        <w:pageBreakBefore w:val="0"/>
        <w:widowControl w:val="0"/>
        <w:numPr>
          <w:ilvl w:val="0"/>
          <w:numId w:val="0"/>
        </w:numPr>
        <w:kinsoku/>
        <w:wordWrap/>
        <w:overflowPunct/>
        <w:topLinePunct w:val="0"/>
        <w:autoSpaceDE/>
        <w:autoSpaceDN/>
        <w:bidi w:val="0"/>
        <w:spacing w:before="0"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（三）竞买申请人需具备房地产开发资质，且同一企业及控股公司只允许一家企业参与竞买。</w:t>
      </w:r>
    </w:p>
    <w:p>
      <w:pPr>
        <w:pStyle w:val="3"/>
        <w:keepNext w:val="0"/>
        <w:keepLines w:val="0"/>
        <w:pageBreakBefore w:val="0"/>
        <w:widowControl w:val="0"/>
        <w:numPr>
          <w:ilvl w:val="0"/>
          <w:numId w:val="0"/>
        </w:numPr>
        <w:kinsoku/>
        <w:wordWrap/>
        <w:overflowPunct/>
        <w:topLinePunct w:val="0"/>
        <w:autoSpaceDE/>
        <w:autoSpaceDN/>
        <w:bidi w:val="0"/>
        <w:spacing w:before="0"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w:t>
      </w:r>
    </w:p>
    <w:p>
      <w:pPr>
        <w:pStyle w:val="3"/>
        <w:keepNext w:val="0"/>
        <w:keepLines w:val="0"/>
        <w:pageBreakBefore w:val="0"/>
        <w:widowControl w:val="0"/>
        <w:numPr>
          <w:ilvl w:val="0"/>
          <w:numId w:val="0"/>
        </w:numPr>
        <w:kinsoku/>
        <w:wordWrap/>
        <w:overflowPunct/>
        <w:topLinePunct w:val="0"/>
        <w:autoSpaceDE/>
        <w:autoSpaceDN/>
        <w:bidi w:val="0"/>
        <w:spacing w:before="0"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对于经审查资金来源不符合要求的，根据情况采取取消参与资格竞买、取消竞得资格、解除土地出让合同或收回已出让土地等措施，竞买保证金不予返还，一年内不得在龙门县参加土地竞买。</w:t>
      </w:r>
    </w:p>
    <w:p>
      <w:pPr>
        <w:pStyle w:val="3"/>
        <w:keepNext w:val="0"/>
        <w:keepLines w:val="0"/>
        <w:pageBreakBefore w:val="0"/>
        <w:widowControl w:val="0"/>
        <w:numPr>
          <w:ilvl w:val="0"/>
          <w:numId w:val="0"/>
        </w:numPr>
        <w:kinsoku/>
        <w:wordWrap/>
        <w:overflowPunct/>
        <w:topLinePunct w:val="0"/>
        <w:autoSpaceDE/>
        <w:autoSpaceDN/>
        <w:bidi w:val="0"/>
        <w:spacing w:before="0" w:line="440" w:lineRule="exact"/>
        <w:ind w:firstLine="960" w:firstLineChars="300"/>
        <w:jc w:val="both"/>
        <w:textAlignment w:val="auto"/>
        <w:rPr>
          <w:rFonts w:hint="eastAsia" w:ascii="仿宋_GB2312" w:hAnsi="仿宋_GB2312" w:eastAsia="仿宋_GB2312" w:cs="仿宋_GB2312"/>
          <w:b w:val="0"/>
          <w:bCs w:val="0"/>
          <w:color w:val="auto"/>
          <w:szCs w:val="32"/>
          <w:highlight w:val="none"/>
        </w:rPr>
      </w:pPr>
      <w:r>
        <w:rPr>
          <w:rFonts w:hint="eastAsia" w:ascii="仿宋_GB2312" w:hAnsi="仿宋_GB2312" w:eastAsia="仿宋_GB2312" w:cs="仿宋_GB2312"/>
          <w:b w:val="0"/>
          <w:bCs w:val="0"/>
          <w:color w:val="auto"/>
          <w:szCs w:val="32"/>
          <w:highlight w:val="none"/>
          <w:lang w:val="en-US" w:eastAsia="zh-CN"/>
        </w:rPr>
        <w:t>五、</w:t>
      </w:r>
      <w:r>
        <w:rPr>
          <w:rFonts w:hint="eastAsia" w:ascii="仿宋_GB2312" w:hAnsi="仿宋_GB2312" w:eastAsia="仿宋_GB2312" w:cs="仿宋_GB2312"/>
          <w:b w:val="0"/>
          <w:bCs w:val="0"/>
          <w:color w:val="auto"/>
          <w:szCs w:val="32"/>
          <w:highlight w:val="none"/>
        </w:rPr>
        <w:t>竞买保证金</w:t>
      </w:r>
    </w:p>
    <w:p>
      <w:pPr>
        <w:pStyle w:val="3"/>
        <w:keepNext w:val="0"/>
        <w:keepLines w:val="0"/>
        <w:pageBreakBefore w:val="0"/>
        <w:widowControl w:val="0"/>
        <w:numPr>
          <w:ilvl w:val="0"/>
          <w:numId w:val="0"/>
        </w:numPr>
        <w:kinsoku/>
        <w:wordWrap/>
        <w:overflowPunct/>
        <w:topLinePunct w:val="0"/>
        <w:autoSpaceDE/>
        <w:autoSpaceDN/>
        <w:bidi w:val="0"/>
        <w:spacing w:before="0" w:line="440" w:lineRule="exact"/>
        <w:ind w:firstLine="640" w:firstLineChars="200"/>
        <w:jc w:val="both"/>
        <w:textAlignment w:val="auto"/>
        <w:rPr>
          <w:rFonts w:hint="eastAsia" w:ascii="仿宋_GB2312" w:hAnsi="仿宋_GB2312" w:eastAsia="仿宋_GB2312" w:cs="仿宋_GB2312"/>
          <w:b w:val="0"/>
          <w:bCs w:val="0"/>
          <w:color w:val="auto"/>
          <w:szCs w:val="32"/>
          <w:highlight w:val="none"/>
          <w:lang w:val="en-US" w:eastAsia="zh-CN"/>
        </w:rPr>
      </w:pPr>
      <w:r>
        <w:rPr>
          <w:rFonts w:hint="eastAsia" w:ascii="仿宋_GB2312" w:hAnsi="仿宋_GB2312" w:eastAsia="仿宋_GB2312" w:cs="仿宋_GB2312"/>
          <w:b w:val="0"/>
          <w:bCs w:val="0"/>
          <w:color w:val="auto"/>
          <w:szCs w:val="32"/>
          <w:highlight w:val="none"/>
          <w:lang w:val="en-US" w:eastAsia="zh-CN"/>
        </w:rPr>
        <w:t>（一）LM2022-22号地块</w:t>
      </w:r>
      <w:r>
        <w:rPr>
          <w:rFonts w:hint="eastAsia" w:ascii="仿宋_GB2312" w:hAnsi="仿宋_GB2312" w:eastAsia="仿宋_GB2312" w:cs="仿宋_GB2312"/>
          <w:b w:val="0"/>
          <w:bCs w:val="0"/>
          <w:color w:val="auto"/>
          <w:szCs w:val="32"/>
          <w:highlight w:val="none"/>
        </w:rPr>
        <w:t>竞买保证金为人民币</w:t>
      </w:r>
      <w:r>
        <w:rPr>
          <w:rFonts w:hint="eastAsia" w:ascii="仿宋_GB2312" w:hAnsi="仿宋_GB2312" w:eastAsia="仿宋_GB2312" w:cs="仿宋_GB2312"/>
          <w:b w:val="0"/>
          <w:bCs w:val="0"/>
          <w:color w:val="auto"/>
          <w:szCs w:val="32"/>
          <w:highlight w:val="none"/>
          <w:u w:val="none"/>
          <w:lang w:val="en-US" w:eastAsia="zh-CN"/>
        </w:rPr>
        <w:t>4321</w:t>
      </w:r>
      <w:r>
        <w:rPr>
          <w:rFonts w:hint="eastAsia" w:ascii="仿宋_GB2312" w:hAnsi="仿宋_GB2312" w:eastAsia="仿宋_GB2312" w:cs="仿宋_GB2312"/>
          <w:b w:val="0"/>
          <w:bCs w:val="0"/>
          <w:color w:val="auto"/>
          <w:szCs w:val="32"/>
          <w:highlight w:val="none"/>
        </w:rPr>
        <w:t>万元</w:t>
      </w:r>
      <w:r>
        <w:rPr>
          <w:rFonts w:hint="eastAsia" w:ascii="仿宋_GB2312" w:hAnsi="仿宋_GB2312" w:eastAsia="仿宋_GB2312" w:cs="仿宋_GB2312"/>
          <w:b w:val="0"/>
          <w:bCs w:val="0"/>
          <w:color w:val="auto"/>
          <w:szCs w:val="32"/>
          <w:highlight w:val="none"/>
          <w:lang w:val="en-US" w:eastAsia="zh-CN"/>
        </w:rPr>
        <w:t>;LM2022-23号地块</w:t>
      </w:r>
      <w:r>
        <w:rPr>
          <w:rFonts w:hint="eastAsia" w:ascii="仿宋_GB2312" w:hAnsi="仿宋_GB2312" w:eastAsia="仿宋_GB2312" w:cs="仿宋_GB2312"/>
          <w:b w:val="0"/>
          <w:bCs w:val="0"/>
          <w:color w:val="auto"/>
          <w:szCs w:val="32"/>
          <w:highlight w:val="none"/>
        </w:rPr>
        <w:t>竞买保证金为人民币</w:t>
      </w:r>
      <w:r>
        <w:rPr>
          <w:rFonts w:hint="eastAsia" w:ascii="仿宋_GB2312" w:hAnsi="仿宋_GB2312" w:eastAsia="仿宋_GB2312" w:cs="仿宋_GB2312"/>
          <w:b w:val="0"/>
          <w:bCs w:val="0"/>
          <w:color w:val="auto"/>
          <w:szCs w:val="32"/>
          <w:highlight w:val="none"/>
          <w:u w:val="none"/>
          <w:lang w:val="en-US" w:eastAsia="zh-CN"/>
        </w:rPr>
        <w:t>638.5</w:t>
      </w:r>
      <w:r>
        <w:rPr>
          <w:rFonts w:hint="eastAsia" w:ascii="仿宋_GB2312" w:hAnsi="仿宋_GB2312" w:eastAsia="仿宋_GB2312" w:cs="仿宋_GB2312"/>
          <w:b w:val="0"/>
          <w:bCs w:val="0"/>
          <w:color w:val="auto"/>
          <w:szCs w:val="32"/>
          <w:highlight w:val="none"/>
        </w:rPr>
        <w:t>万元</w:t>
      </w:r>
      <w:r>
        <w:rPr>
          <w:rFonts w:hint="eastAsia" w:ascii="仿宋_GB2312" w:hAnsi="仿宋_GB2312" w:eastAsia="仿宋_GB2312" w:cs="仿宋_GB2312"/>
          <w:b w:val="0"/>
          <w:bCs w:val="0"/>
          <w:color w:val="auto"/>
          <w:szCs w:val="32"/>
          <w:highlight w:val="none"/>
          <w:lang w:val="en-US" w:eastAsia="zh-CN"/>
        </w:rPr>
        <w:t>;LM2022-24号地块</w:t>
      </w:r>
      <w:r>
        <w:rPr>
          <w:rFonts w:hint="eastAsia" w:ascii="仿宋_GB2312" w:hAnsi="仿宋_GB2312" w:eastAsia="仿宋_GB2312" w:cs="仿宋_GB2312"/>
          <w:b w:val="0"/>
          <w:bCs w:val="0"/>
          <w:color w:val="auto"/>
          <w:szCs w:val="32"/>
          <w:highlight w:val="none"/>
        </w:rPr>
        <w:t>竞买保证金为人民币</w:t>
      </w:r>
      <w:r>
        <w:rPr>
          <w:rFonts w:hint="eastAsia" w:ascii="仿宋_GB2312" w:hAnsi="仿宋_GB2312" w:eastAsia="仿宋_GB2312" w:cs="仿宋_GB2312"/>
          <w:b w:val="0"/>
          <w:bCs w:val="0"/>
          <w:color w:val="auto"/>
          <w:szCs w:val="32"/>
          <w:highlight w:val="none"/>
          <w:u w:val="none"/>
          <w:lang w:val="en-US" w:eastAsia="zh-CN"/>
        </w:rPr>
        <w:t>705</w:t>
      </w:r>
      <w:r>
        <w:rPr>
          <w:rFonts w:hint="eastAsia" w:ascii="仿宋_GB2312" w:hAnsi="仿宋_GB2312" w:eastAsia="仿宋_GB2312" w:cs="仿宋_GB2312"/>
          <w:b w:val="0"/>
          <w:bCs w:val="0"/>
          <w:color w:val="auto"/>
          <w:szCs w:val="32"/>
          <w:highlight w:val="none"/>
        </w:rPr>
        <w:t>万元</w:t>
      </w:r>
      <w:r>
        <w:rPr>
          <w:rFonts w:hint="eastAsia" w:ascii="仿宋_GB2312" w:hAnsi="仿宋_GB2312" w:eastAsia="仿宋_GB2312" w:cs="仿宋_GB2312"/>
          <w:b w:val="0"/>
          <w:bCs w:val="0"/>
          <w:color w:val="auto"/>
          <w:szCs w:val="32"/>
          <w:highlight w:val="none"/>
          <w:lang w:val="en-US" w:eastAsia="zh-CN"/>
        </w:rPr>
        <w:t>。</w:t>
      </w:r>
    </w:p>
    <w:p>
      <w:pPr>
        <w:pStyle w:val="3"/>
        <w:keepNext w:val="0"/>
        <w:keepLines w:val="0"/>
        <w:pageBreakBefore w:val="0"/>
        <w:widowControl w:val="0"/>
        <w:numPr>
          <w:ilvl w:val="0"/>
          <w:numId w:val="0"/>
        </w:numPr>
        <w:kinsoku/>
        <w:wordWrap/>
        <w:overflowPunct/>
        <w:topLinePunct w:val="0"/>
        <w:autoSpaceDE/>
        <w:autoSpaceDN/>
        <w:bidi w:val="0"/>
        <w:spacing w:before="0" w:line="440" w:lineRule="exact"/>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（二）</w:t>
      </w:r>
      <w:r>
        <w:rPr>
          <w:rFonts w:hint="eastAsia" w:ascii="仿宋_GB2312" w:hAnsi="仿宋_GB2312" w:eastAsia="仿宋_GB2312" w:cs="仿宋_GB2312"/>
          <w:b w:val="0"/>
          <w:bCs w:val="0"/>
          <w:color w:val="auto"/>
          <w:sz w:val="32"/>
          <w:szCs w:val="32"/>
          <w:highlight w:val="none"/>
        </w:rPr>
        <w:t>申请人应当在网上挂牌出让竞买保证金到账截止时间前登录惠州市公共资源交易中心（以下简称“交易中心”）土地与矿业网上挂牌交易系统（以下简称“网上挂牌交易系统”</w:t>
      </w:r>
      <w:r>
        <w:rPr>
          <w:rFonts w:hint="eastAsia" w:ascii="仿宋_GB2312" w:hAnsi="仿宋_GB2312" w:eastAsia="仿宋_GB2312" w:cs="仿宋_GB2312"/>
          <w:i w:val="0"/>
          <w:iCs w:val="0"/>
          <w:caps w:val="0"/>
          <w:color w:val="333333"/>
          <w:spacing w:val="0"/>
          <w:sz w:val="31"/>
          <w:szCs w:val="31"/>
          <w:shd w:val="clear" w:fill="FFFFFF"/>
        </w:rPr>
        <w:t>，网址：https://www.hzgtjy.com/</w:t>
      </w:r>
      <w:r>
        <w:rPr>
          <w:rFonts w:hint="eastAsia" w:ascii="仿宋_GB2312" w:hAnsi="仿宋_GB2312" w:eastAsia="仿宋_GB2312" w:cs="仿宋_GB2312"/>
          <w:b w:val="0"/>
          <w:bCs w:val="0"/>
          <w:color w:val="auto"/>
          <w:sz w:val="32"/>
          <w:szCs w:val="32"/>
          <w:highlight w:val="none"/>
        </w:rPr>
        <w:t>）获取竞买保证金支付账号。</w:t>
      </w:r>
    </w:p>
    <w:p>
      <w:pPr>
        <w:keepNext w:val="0"/>
        <w:keepLines w:val="0"/>
        <w:pageBreakBefore w:val="0"/>
        <w:numPr>
          <w:ilvl w:val="0"/>
          <w:numId w:val="0"/>
        </w:numPr>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竞买保证金到账时间以网上挂牌交易系统确认并发出《保证金到账通知书》为准。</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竞买申请</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可以单独申请，也可以联合申请。</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单独申请竞买的，竞买申请人为非本县注册登记的企业，在竞得土地后，必须于2个月内在本县市场监督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kern w:val="0"/>
          <w:sz w:val="32"/>
          <w:szCs w:val="32"/>
          <w:lang w:val="en-US" w:eastAsia="zh-CN" w:bidi="ar-SA"/>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县市场监督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本宗国有建设用地使用权网上挂牌出让实行竞买资格后置审查。竞买申请人交纳足额竞买保证金即获得竞买报价权限。</w:t>
      </w:r>
    </w:p>
    <w:p>
      <w:pPr>
        <w:pStyle w:val="3"/>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仿宋_GB2312" w:hAnsi="仿宋_GB2312" w:eastAsia="仿宋_GB2312" w:cs="仿宋_GB2312"/>
          <w:b w:val="0"/>
          <w:bCs w:val="0"/>
          <w:color w:val="auto"/>
          <w:szCs w:val="32"/>
          <w:highlight w:val="none"/>
        </w:rPr>
      </w:pPr>
      <w:r>
        <w:rPr>
          <w:rFonts w:hint="eastAsia" w:ascii="仿宋_GB2312" w:hAnsi="仿宋_GB2312" w:eastAsia="仿宋_GB2312" w:cs="仿宋_GB2312"/>
          <w:b w:val="0"/>
          <w:bCs w:val="0"/>
          <w:color w:val="auto"/>
          <w:szCs w:val="32"/>
          <w:highlight w:val="none"/>
        </w:rPr>
        <w:t>七、竞买人电子报价及电子限时竞价</w:t>
      </w:r>
    </w:p>
    <w:p>
      <w:pPr>
        <w:pStyle w:val="2"/>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2"/>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八、确定成交候选人</w:t>
      </w:r>
    </w:p>
    <w:p>
      <w:pPr>
        <w:pStyle w:val="2"/>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国有建设用地使用权网上挂牌出让为无底价挂牌，采取价高者得方式出让并确定成交候选人。</w:t>
      </w:r>
      <w:r>
        <w:rPr>
          <w:rFonts w:hint="eastAsia" w:ascii="仿宋_GB2312" w:hAnsi="仿宋_GB2312" w:eastAsia="仿宋_GB2312" w:cs="仿宋_GB2312"/>
          <w:b w:val="0"/>
          <w:bCs w:val="0"/>
          <w:color w:val="auto"/>
          <w:sz w:val="32"/>
          <w:szCs w:val="32"/>
          <w:highlight w:val="none"/>
          <w:lang w:val="en-US" w:eastAsia="zh-CN"/>
        </w:rPr>
        <w:t>LM2022-22号地块</w:t>
      </w:r>
      <w:r>
        <w:rPr>
          <w:rFonts w:hint="eastAsia" w:ascii="仿宋_GB2312" w:hAnsi="仿宋_GB2312" w:eastAsia="仿宋_GB2312" w:cs="仿宋_GB2312"/>
          <w:b w:val="0"/>
          <w:bCs w:val="0"/>
          <w:color w:val="auto"/>
          <w:sz w:val="32"/>
          <w:szCs w:val="32"/>
          <w:highlight w:val="none"/>
          <w:lang w:eastAsia="zh-CN"/>
        </w:rPr>
        <w:t>采取“限地价、限房价”供地方式：每次报价加价幅度为人民币250万元的整数倍，最高限价为9892万元，按照价高者得原则确定竞得人，若有两名或两名以上竞买人报价均达到最高限价，则转为通过网上摇号方式确定竞得人。</w:t>
      </w:r>
    </w:p>
    <w:p>
      <w:pPr>
        <w:pStyle w:val="2"/>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九、资格审查</w:t>
      </w:r>
    </w:p>
    <w:p>
      <w:pPr>
        <w:pStyle w:val="2"/>
        <w:keepNext w:val="0"/>
        <w:keepLines w:val="0"/>
        <w:pageBreakBefore w:val="0"/>
        <w:kinsoku/>
        <w:wordWrap/>
        <w:overflowPunct/>
        <w:topLinePunct w:val="0"/>
        <w:autoSpaceDE/>
        <w:autoSpaceDN/>
        <w:bidi w:val="0"/>
        <w:spacing w:line="440" w:lineRule="exact"/>
        <w:ind w:firstLine="579" w:firstLineChars="181"/>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成交候选人应在网上挂牌交易系统确定成交候选人之日起</w:t>
      </w:r>
      <w:r>
        <w:rPr>
          <w:rFonts w:hint="eastAsia" w:ascii="仿宋_GB2312" w:hAnsi="仿宋_GB2312" w:eastAsia="仿宋_GB2312" w:cs="仿宋_GB2312"/>
          <w:b w:val="0"/>
          <w:bCs w:val="0"/>
          <w:color w:val="auto"/>
          <w:sz w:val="32"/>
          <w:szCs w:val="32"/>
          <w:highlight w:val="none"/>
          <w:u w:val="single"/>
          <w:lang w:val="en-US" w:eastAsia="zh-CN"/>
        </w:rPr>
        <w:t>3</w:t>
      </w:r>
      <w:r>
        <w:rPr>
          <w:rFonts w:hint="eastAsia" w:ascii="仿宋_GB2312" w:hAnsi="仿宋_GB2312" w:eastAsia="仿宋_GB2312" w:cs="仿宋_GB2312"/>
          <w:b w:val="0"/>
          <w:bCs w:val="0"/>
          <w:color w:val="auto"/>
          <w:sz w:val="32"/>
          <w:szCs w:val="32"/>
          <w:highlight w:val="none"/>
        </w:rPr>
        <w:t>个工作日内将竞买申请纸质材料提交至我局，由我局对竞买资格进行审查。我局将于</w:t>
      </w:r>
      <w:r>
        <w:rPr>
          <w:rFonts w:hint="eastAsia" w:ascii="仿宋_GB2312" w:hAnsi="仿宋_GB2312" w:eastAsia="仿宋_GB2312" w:cs="仿宋_GB2312"/>
          <w:b w:val="0"/>
          <w:bCs w:val="0"/>
          <w:color w:val="auto"/>
          <w:sz w:val="32"/>
          <w:szCs w:val="32"/>
          <w:highlight w:val="none"/>
          <w:u w:val="single"/>
          <w:lang w:val="en-US" w:eastAsia="zh-CN"/>
        </w:rPr>
        <w:t>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u w:val="single"/>
          <w:lang w:val="en-US" w:eastAsia="zh-CN"/>
        </w:rPr>
        <w:t>11</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single"/>
          <w:lang w:val="en-US" w:eastAsia="zh-CN"/>
        </w:rPr>
        <w:t>17</w:t>
      </w:r>
      <w:r>
        <w:rPr>
          <w:rFonts w:hint="eastAsia" w:ascii="仿宋_GB2312" w:hAnsi="仿宋_GB2312" w:eastAsia="仿宋_GB2312" w:cs="仿宋_GB2312"/>
          <w:b w:val="0"/>
          <w:bCs w:val="0"/>
          <w:color w:val="auto"/>
          <w:sz w:val="32"/>
          <w:szCs w:val="32"/>
          <w:highlight w:val="none"/>
        </w:rPr>
        <w:t xml:space="preserve">日前确定符合竞买资格的成交候选人为竞得人。 </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成交候选人资格审查须提交下列材料：</w:t>
      </w:r>
    </w:p>
    <w:p>
      <w:pPr>
        <w:pStyle w:val="7"/>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《竞买申请书》（加盖公章）；</w:t>
      </w:r>
    </w:p>
    <w:p>
      <w:pPr>
        <w:pStyle w:val="7"/>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《竞价结果通知书》（加盖公章）；</w:t>
      </w:r>
    </w:p>
    <w:p>
      <w:pPr>
        <w:pStyle w:val="7"/>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《竞买保证金到账通知书》（加盖公章）；</w:t>
      </w:r>
    </w:p>
    <w:p>
      <w:pPr>
        <w:pStyle w:val="7"/>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竞买保证金转账凭证复印件（加盖公章）；</w:t>
      </w:r>
    </w:p>
    <w:p>
      <w:pPr>
        <w:pStyle w:val="7"/>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申请竞买人有效的《营业执照》复印件（加盖公章）；</w:t>
      </w:r>
    </w:p>
    <w:p>
      <w:pPr>
        <w:pStyle w:val="7"/>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法定代表人身份证复印件（加盖公章）；</w:t>
      </w:r>
    </w:p>
    <w:p>
      <w:pPr>
        <w:pStyle w:val="7"/>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授权他人代理的授权委托书及代理人身份证复印件（核对原件）；</w:t>
      </w:r>
    </w:p>
    <w:p>
      <w:pPr>
        <w:pStyle w:val="7"/>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联合竞买协议（联合竞买的提供）；</w:t>
      </w:r>
    </w:p>
    <w:p>
      <w:pPr>
        <w:pStyle w:val="7"/>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房地产开发资质材料；</w:t>
      </w:r>
    </w:p>
    <w:p>
      <w:pPr>
        <w:pStyle w:val="7"/>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购地资金来源相应证明及承诺书。</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十、签订交易成交确认书及出让合同</w:t>
      </w:r>
    </w:p>
    <w:p>
      <w:pPr>
        <w:keepNext w:val="0"/>
        <w:keepLines w:val="0"/>
        <w:pageBreakBefore w:val="0"/>
        <w:kinsoku/>
        <w:wordWrap/>
        <w:overflowPunct/>
        <w:topLinePunct w:val="0"/>
        <w:autoSpaceDE/>
        <w:autoSpaceDN/>
        <w:bidi w:val="0"/>
        <w:spacing w:line="440" w:lineRule="exact"/>
        <w:ind w:firstLine="55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竞得人应在接到竞得人确定通知之日起</w:t>
      </w:r>
      <w:r>
        <w:rPr>
          <w:rFonts w:hint="eastAsia" w:ascii="仿宋_GB2312" w:hAnsi="仿宋_GB2312" w:eastAsia="仿宋_GB2312" w:cs="仿宋_GB2312"/>
          <w:b w:val="0"/>
          <w:bCs w:val="0"/>
          <w:color w:val="auto"/>
          <w:sz w:val="32"/>
          <w:szCs w:val="32"/>
          <w:highlight w:val="none"/>
          <w:u w:val="single"/>
          <w:lang w:val="en-US" w:eastAsia="zh-CN"/>
        </w:rPr>
        <w:t>5</w:t>
      </w:r>
      <w:r>
        <w:rPr>
          <w:rFonts w:hint="eastAsia" w:ascii="仿宋_GB2312" w:hAnsi="仿宋_GB2312" w:eastAsia="仿宋_GB2312" w:cs="仿宋_GB2312"/>
          <w:b w:val="0"/>
          <w:bCs w:val="0"/>
          <w:color w:val="auto"/>
          <w:sz w:val="32"/>
          <w:szCs w:val="32"/>
          <w:highlight w:val="none"/>
        </w:rPr>
        <w:t>个工作日内</w:t>
      </w:r>
      <w:r>
        <w:rPr>
          <w:rFonts w:hint="eastAsia" w:ascii="仿宋_GB2312" w:hAnsi="仿宋_GB2312" w:eastAsia="仿宋_GB2312" w:cs="仿宋_GB2312"/>
          <w:b w:val="0"/>
          <w:bCs w:val="0"/>
          <w:color w:val="auto"/>
          <w:sz w:val="32"/>
          <w:szCs w:val="32"/>
          <w:highlight w:val="none"/>
          <w:lang w:eastAsia="zh-CN"/>
        </w:rPr>
        <w:t>与我局、交易中心</w:t>
      </w:r>
      <w:r>
        <w:rPr>
          <w:rFonts w:hint="eastAsia" w:ascii="仿宋_GB2312" w:hAnsi="仿宋_GB2312" w:eastAsia="仿宋_GB2312" w:cs="仿宋_GB2312"/>
          <w:b w:val="0"/>
          <w:bCs w:val="0"/>
          <w:color w:val="auto"/>
          <w:sz w:val="32"/>
          <w:szCs w:val="32"/>
          <w:highlight w:val="none"/>
        </w:rPr>
        <w:t>签订《成交确认书》，在签订《成交确认书》之日起</w:t>
      </w:r>
      <w:r>
        <w:rPr>
          <w:rFonts w:hint="eastAsia" w:ascii="仿宋_GB2312" w:hAnsi="仿宋_GB2312" w:eastAsia="仿宋_GB2312" w:cs="仿宋_GB2312"/>
          <w:b w:val="0"/>
          <w:bCs w:val="0"/>
          <w:color w:val="auto"/>
          <w:sz w:val="32"/>
          <w:szCs w:val="32"/>
          <w:highlight w:val="none"/>
          <w:u w:val="single"/>
          <w:lang w:val="en-US" w:eastAsia="zh-CN"/>
        </w:rPr>
        <w:t>30</w:t>
      </w:r>
      <w:r>
        <w:rPr>
          <w:rFonts w:hint="eastAsia" w:ascii="仿宋_GB2312" w:hAnsi="仿宋_GB2312" w:eastAsia="仿宋_GB2312" w:cs="仿宋_GB2312"/>
          <w:b w:val="0"/>
          <w:bCs w:val="0"/>
          <w:color w:val="auto"/>
          <w:sz w:val="32"/>
          <w:szCs w:val="32"/>
          <w:highlight w:val="none"/>
        </w:rPr>
        <w:t>日内与我局签订《国有建设用地使用权出让合同》。</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十一、竞买保证金退还或转付成交价款</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签订交易合同，竞得人</w:t>
      </w:r>
      <w:r>
        <w:rPr>
          <w:rFonts w:hint="eastAsia" w:ascii="仿宋_GB2312" w:hAnsi="仿宋_GB2312" w:eastAsia="仿宋_GB2312" w:cs="仿宋_GB2312"/>
          <w:b w:val="0"/>
          <w:bCs w:val="0"/>
          <w:color w:val="auto"/>
          <w:sz w:val="32"/>
          <w:szCs w:val="32"/>
          <w:highlight w:val="none"/>
          <w:shd w:val="clear" w:color="auto" w:fill="auto"/>
          <w:lang w:eastAsia="zh-CN"/>
        </w:rPr>
        <w:t>交</w:t>
      </w:r>
      <w:r>
        <w:rPr>
          <w:rFonts w:hint="eastAsia" w:ascii="仿宋_GB2312" w:hAnsi="仿宋_GB2312" w:eastAsia="仿宋_GB2312" w:cs="仿宋_GB2312"/>
          <w:b w:val="0"/>
          <w:bCs w:val="0"/>
          <w:color w:val="auto"/>
          <w:sz w:val="32"/>
          <w:szCs w:val="32"/>
          <w:highlight w:val="none"/>
          <w:shd w:val="clear" w:color="auto" w:fill="auto"/>
        </w:rPr>
        <w:t>纳</w:t>
      </w:r>
      <w:r>
        <w:rPr>
          <w:rFonts w:hint="eastAsia" w:ascii="仿宋_GB2312" w:hAnsi="仿宋_GB2312" w:eastAsia="仿宋_GB2312" w:cs="仿宋_GB2312"/>
          <w:b w:val="0"/>
          <w:bCs w:val="0"/>
          <w:color w:val="auto"/>
          <w:sz w:val="32"/>
          <w:szCs w:val="32"/>
          <w:highlight w:val="none"/>
        </w:rPr>
        <w:t>的竞买保证金按成交价的</w:t>
      </w:r>
      <w:r>
        <w:rPr>
          <w:rFonts w:hint="eastAsia" w:ascii="仿宋_GB2312" w:hAnsi="仿宋_GB2312" w:eastAsia="仿宋_GB2312" w:cs="仿宋_GB2312"/>
          <w:b w:val="0"/>
          <w:bCs w:val="0"/>
          <w:color w:val="auto"/>
          <w:sz w:val="32"/>
          <w:szCs w:val="32"/>
          <w:highlight w:val="none"/>
          <w:u w:val="single"/>
          <w:lang w:val="en-US" w:eastAsia="zh-CN"/>
        </w:rPr>
        <w:t>20</w:t>
      </w:r>
      <w:r>
        <w:rPr>
          <w:rFonts w:hint="eastAsia" w:ascii="仿宋_GB2312" w:hAnsi="仿宋_GB2312" w:eastAsia="仿宋_GB2312" w:cs="仿宋_GB2312"/>
          <w:b w:val="0"/>
          <w:bCs w:val="0"/>
          <w:color w:val="auto"/>
          <w:sz w:val="32"/>
          <w:szCs w:val="32"/>
          <w:highlight w:val="none"/>
        </w:rPr>
        <w:t>%转作受让宗地的定金。如竞买保证金不足以缴纳定金，不足部分在交易系统确定成交之日起5个工作日内补齐；如竞买保证金转作定金后有剩余，余额转作宗地成交价款，定金可抵作宗地成交价款。</w:t>
      </w:r>
    </w:p>
    <w:p>
      <w:pPr>
        <w:pStyle w:val="2"/>
        <w:keepNext w:val="0"/>
        <w:keepLines w:val="0"/>
        <w:pageBreakBefore w:val="0"/>
        <w:kinsoku/>
        <w:wordWrap/>
        <w:overflowPunct/>
        <w:topLinePunct w:val="0"/>
        <w:autoSpaceDE/>
        <w:autoSpaceDN/>
        <w:bidi w:val="0"/>
        <w:spacing w:line="440" w:lineRule="exact"/>
        <w:ind w:firstLine="64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未竞得人交纳的竞买保证金于电子挂牌交易活动结束之日起带齐相关资料（《保证金到账通知书》及进账单等）到本分中心退还保证金，不计利息。</w:t>
      </w:r>
    </w:p>
    <w:p>
      <w:pPr>
        <w:pStyle w:val="2"/>
        <w:keepNext w:val="0"/>
        <w:keepLines w:val="0"/>
        <w:pageBreakBefore w:val="0"/>
        <w:kinsoku/>
        <w:wordWrap/>
        <w:overflowPunct/>
        <w:topLinePunct w:val="0"/>
        <w:autoSpaceDE/>
        <w:autoSpaceDN/>
        <w:bidi w:val="0"/>
        <w:spacing w:line="440" w:lineRule="exact"/>
        <w:ind w:firstLine="64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竞得人交纳的竞买保证金转付成交价款，竞得人应带齐如下相关资料到交易中心办理转付成交价款手续：</w:t>
      </w:r>
    </w:p>
    <w:p>
      <w:pPr>
        <w:pStyle w:val="2"/>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保证金到账通知书；</w:t>
      </w:r>
    </w:p>
    <w:p>
      <w:pPr>
        <w:pStyle w:val="2"/>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竞价结果通知书；</w:t>
      </w:r>
    </w:p>
    <w:p>
      <w:pPr>
        <w:pStyle w:val="2"/>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保证金转账凭证。</w:t>
      </w:r>
    </w:p>
    <w:p>
      <w:pPr>
        <w:pStyle w:val="2"/>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rPr>
        <w:t>、成交价款支付方式及期限</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土地成交价款须以人民币支付,竞得人在签订出让合同之日起</w:t>
      </w:r>
      <w:r>
        <w:rPr>
          <w:rFonts w:hint="eastAsia" w:ascii="仿宋_GB2312" w:hAnsi="仿宋_GB2312" w:eastAsia="仿宋_GB2312" w:cs="仿宋_GB2312"/>
          <w:b w:val="0"/>
          <w:bCs w:val="0"/>
          <w:color w:val="auto"/>
          <w:sz w:val="32"/>
          <w:szCs w:val="32"/>
          <w:highlight w:val="none"/>
          <w:u w:val="single"/>
          <w:lang w:val="en-US" w:eastAsia="zh-CN"/>
        </w:rPr>
        <w:t>30</w:t>
      </w:r>
      <w:r>
        <w:rPr>
          <w:rFonts w:hint="eastAsia" w:ascii="仿宋_GB2312" w:hAnsi="仿宋_GB2312" w:eastAsia="仿宋_GB2312" w:cs="仿宋_GB2312"/>
          <w:b w:val="0"/>
          <w:bCs w:val="0"/>
          <w:color w:val="auto"/>
          <w:sz w:val="32"/>
          <w:szCs w:val="32"/>
          <w:highlight w:val="none"/>
        </w:rPr>
        <w:t>日内一次性付清全部成交价款。</w:t>
      </w:r>
    </w:p>
    <w:p>
      <w:pPr>
        <w:pStyle w:val="2"/>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2"/>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、违规责任</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不符合竞买资格条件的；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提供虚假文件材料，隐瞒重要事实的；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采取行贿、恶意串通等非法手段竞得的；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无正当理由逾期或拒绝签订成交确认书的；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无正当理由逾期或拒绝签订交易合同的。</w:t>
      </w:r>
    </w:p>
    <w:p>
      <w:pPr>
        <w:pStyle w:val="2"/>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bCs w:val="0"/>
          <w:color w:val="auto"/>
          <w:sz w:val="32"/>
          <w:szCs w:val="32"/>
          <w:highlight w:val="none"/>
          <w:lang w:eastAsia="zh-CN"/>
        </w:rPr>
        <w:t>四</w:t>
      </w:r>
      <w:r>
        <w:rPr>
          <w:rFonts w:hint="eastAsia" w:ascii="仿宋_GB2312" w:hAnsi="仿宋_GB2312" w:eastAsia="仿宋_GB2312" w:cs="仿宋_GB2312"/>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440" w:lineRule="exact"/>
        <w:ind w:firstLine="55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（一）本宗地网上挂牌出让的详细资料和具体要求，见交易中心网上挂牌交易系统（https://www.hzgtjy.com/）。申请人可在网上挂牌交易系统下载挂牌出让公告、须知及相关交易文件。</w:t>
      </w:r>
    </w:p>
    <w:p>
      <w:pPr>
        <w:pStyle w:val="2"/>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（二）有意竞买者可以自行到地块现场踏勘（可在网上挂牌交易系统查阅位置图和现状图）。</w:t>
      </w:r>
    </w:p>
    <w:p>
      <w:pPr>
        <w:pStyle w:val="2"/>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2"/>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（四）地块动工竣工时间及地块交付时间</w:t>
      </w:r>
    </w:p>
    <w:p>
      <w:pPr>
        <w:pStyle w:val="2"/>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地块动工时间为地块交付之日起一年内，竣工时间为动工之日起三年内（因不可抗拒因素除外）；</w:t>
      </w:r>
    </w:p>
    <w:p>
      <w:pPr>
        <w:pStyle w:val="2"/>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竞得人在付清地价款后一个月内办理交地手续，凭《</w:t>
      </w:r>
      <w:r>
        <w:rPr>
          <w:rFonts w:hint="eastAsia" w:ascii="仿宋_GB2312" w:hAnsi="仿宋_GB2312" w:eastAsia="仿宋_GB2312" w:cs="仿宋_GB2312"/>
          <w:b w:val="0"/>
          <w:bCs w:val="0"/>
          <w:color w:val="auto"/>
          <w:sz w:val="32"/>
          <w:szCs w:val="32"/>
          <w:highlight w:val="none"/>
          <w:lang w:eastAsia="zh-CN"/>
        </w:rPr>
        <w:t>成交</w:t>
      </w:r>
      <w:r>
        <w:rPr>
          <w:rFonts w:hint="eastAsia" w:ascii="仿宋_GB2312" w:hAnsi="仿宋_GB2312" w:eastAsia="仿宋_GB2312" w:cs="仿宋_GB2312"/>
          <w:b w:val="0"/>
          <w:bCs w:val="0"/>
          <w:color w:val="auto"/>
          <w:sz w:val="32"/>
          <w:szCs w:val="32"/>
          <w:highlight w:val="none"/>
        </w:rPr>
        <w:t>确认书》、《出让合同》和地价款交款凭证等申请办理土地初始登记，领取《不动产权证书》。</w:t>
      </w:r>
    </w:p>
    <w:p>
      <w:pPr>
        <w:pStyle w:val="2"/>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（五）土地开发及使用规定</w:t>
      </w:r>
    </w:p>
    <w:p>
      <w:pPr>
        <w:pStyle w:val="11"/>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1、竞得人在用地红线内开发建设必须按《建设用地规划设计条件》的规划控制指标要求及有关规定进行规划设计，配建相关配套设施。</w:t>
      </w:r>
    </w:p>
    <w:p>
      <w:pPr>
        <w:pStyle w:val="11"/>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LM2022-22号地块</w:t>
      </w:r>
      <w:bookmarkStart w:id="0" w:name="_GoBack"/>
      <w:bookmarkEnd w:id="0"/>
      <w:r>
        <w:rPr>
          <w:rFonts w:hint="eastAsia" w:ascii="仿宋_GB2312" w:hAnsi="仿宋_GB2312" w:eastAsia="仿宋_GB2312" w:cs="仿宋_GB2312"/>
          <w:b w:val="0"/>
          <w:bCs w:val="0"/>
          <w:color w:val="auto"/>
          <w:sz w:val="32"/>
          <w:szCs w:val="32"/>
          <w:highlight w:val="none"/>
          <w:lang w:eastAsia="zh-CN"/>
        </w:rPr>
        <w:t>所建高层单套毛坯住宅销售均价不高于9800元/平方米，由龙门县住房和城乡建设局负责执行和监管。</w:t>
      </w:r>
    </w:p>
    <w:p>
      <w:pPr>
        <w:keepNext w:val="0"/>
        <w:keepLines w:val="0"/>
        <w:pageBreakBefore w:val="0"/>
        <w:numPr>
          <w:ilvl w:val="0"/>
          <w:numId w:val="0"/>
        </w:numPr>
        <w:kinsoku/>
        <w:wordWrap/>
        <w:overflowPunct/>
        <w:topLinePunct w:val="0"/>
        <w:autoSpaceDE/>
        <w:autoSpaceDN/>
        <w:bidi w:val="0"/>
        <w:spacing w:line="440" w:lineRule="exact"/>
        <w:ind w:leftChars="200" w:firstLine="320" w:firstLineChars="1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十五、</w:t>
      </w:r>
      <w:r>
        <w:rPr>
          <w:rFonts w:hint="eastAsia" w:ascii="仿宋_GB2312" w:hAnsi="仿宋_GB2312" w:eastAsia="仿宋_GB2312" w:cs="仿宋_GB2312"/>
          <w:b w:val="0"/>
          <w:bCs w:val="0"/>
          <w:color w:val="auto"/>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出让方：</w:t>
      </w:r>
      <w:r>
        <w:rPr>
          <w:rFonts w:hint="eastAsia" w:ascii="仿宋_GB2312" w:hAnsi="仿宋_GB2312" w:eastAsia="仿宋_GB2312" w:cs="仿宋_GB2312"/>
          <w:i w:val="0"/>
          <w:caps w:val="0"/>
          <w:color w:val="auto"/>
          <w:spacing w:val="0"/>
          <w:sz w:val="32"/>
          <w:szCs w:val="32"/>
          <w:highlight w:val="none"/>
          <w:shd w:val="clear" w:color="auto" w:fill="FFFFFF"/>
        </w:rPr>
        <w:t>惠州市龙门县自然资源局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联系</w:t>
      </w:r>
      <w:r>
        <w:rPr>
          <w:rFonts w:hint="eastAsia" w:ascii="仿宋_GB2312" w:hAnsi="仿宋_GB2312" w:eastAsia="仿宋_GB2312" w:cs="仿宋_GB2312"/>
          <w:i w:val="0"/>
          <w:caps w:val="0"/>
          <w:color w:val="auto"/>
          <w:spacing w:val="0"/>
          <w:sz w:val="32"/>
          <w:szCs w:val="32"/>
          <w:highlight w:val="none"/>
          <w:shd w:val="clear" w:color="auto" w:fill="FFFFFF"/>
        </w:rPr>
        <w:t>地址：惠州市龙门县龙新公路西埔路段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联系人：</w:t>
      </w:r>
      <w:r>
        <w:rPr>
          <w:rFonts w:hint="eastAsia" w:ascii="仿宋_GB2312" w:hAnsi="仿宋_GB2312" w:eastAsia="仿宋_GB2312" w:cs="仿宋_GB2312"/>
          <w:i w:val="0"/>
          <w:caps w:val="0"/>
          <w:color w:val="auto"/>
          <w:spacing w:val="0"/>
          <w:sz w:val="32"/>
          <w:szCs w:val="32"/>
          <w:highlight w:val="none"/>
          <w:shd w:val="clear" w:color="auto" w:fill="FFFFFF"/>
          <w:lang w:eastAsia="zh-CN"/>
        </w:rPr>
        <w:t>钟先生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联系电话：</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0752</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7783681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交易机构：</w:t>
      </w:r>
      <w:r>
        <w:rPr>
          <w:rFonts w:hint="eastAsia" w:ascii="仿宋_GB2312" w:hAnsi="仿宋_GB2312" w:eastAsia="仿宋_GB2312" w:cs="仿宋_GB2312"/>
          <w:i w:val="0"/>
          <w:caps w:val="0"/>
          <w:color w:val="auto"/>
          <w:spacing w:val="0"/>
          <w:sz w:val="32"/>
          <w:szCs w:val="32"/>
          <w:highlight w:val="none"/>
          <w:shd w:val="clear" w:color="auto" w:fill="FFFFFF"/>
        </w:rPr>
        <w:t>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联系</w:t>
      </w:r>
      <w:r>
        <w:rPr>
          <w:rFonts w:hint="eastAsia" w:ascii="仿宋_GB2312" w:hAnsi="仿宋_GB2312" w:eastAsia="仿宋_GB2312" w:cs="仿宋_GB2312"/>
          <w:i w:val="0"/>
          <w:caps w:val="0"/>
          <w:color w:val="auto"/>
          <w:spacing w:val="0"/>
          <w:sz w:val="32"/>
          <w:szCs w:val="32"/>
          <w:highlight w:val="none"/>
          <w:shd w:val="clear" w:color="auto" w:fill="FFFFFF"/>
        </w:rPr>
        <w:t>地址：广东省惠州市龙门县体育西路6号城投大厦二楼惠州市公共资源交易中心龙门分中心。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联系人：谢小姐、陈先生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联系电话：（0752）7988083</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注：本公告同时在下列网站及</w:t>
      </w:r>
      <w:r>
        <w:rPr>
          <w:rFonts w:hint="eastAsia" w:ascii="仿宋_GB2312" w:hAnsi="仿宋_GB2312" w:eastAsia="仿宋_GB2312" w:cs="仿宋_GB2312"/>
          <w:b w:val="0"/>
          <w:bCs w:val="0"/>
          <w:color w:val="auto"/>
          <w:sz w:val="32"/>
          <w:szCs w:val="32"/>
          <w:highlight w:val="none"/>
          <w:lang w:val="en-US" w:eastAsia="zh-CN"/>
        </w:rPr>
        <w:t>报刊</w:t>
      </w:r>
      <w:r>
        <w:rPr>
          <w:rFonts w:hint="eastAsia" w:ascii="仿宋_GB2312" w:hAnsi="仿宋_GB2312" w:eastAsia="仿宋_GB2312" w:cs="仿宋_GB2312"/>
          <w:b w:val="0"/>
          <w:bCs w:val="0"/>
          <w:color w:val="auto"/>
          <w:sz w:val="32"/>
          <w:szCs w:val="32"/>
          <w:highlight w:val="none"/>
        </w:rPr>
        <w:t>发布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中国土地市场网: http://www.landchina.com</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广东</w:t>
      </w:r>
      <w:r>
        <w:rPr>
          <w:rFonts w:hint="eastAsia" w:ascii="仿宋_GB2312" w:hAnsi="仿宋_GB2312" w:eastAsia="仿宋_GB2312" w:cs="仿宋_GB2312"/>
          <w:i w:val="0"/>
          <w:caps w:val="0"/>
          <w:color w:val="auto"/>
          <w:spacing w:val="0"/>
          <w:sz w:val="32"/>
          <w:szCs w:val="32"/>
          <w:highlight w:val="none"/>
          <w:shd w:val="clear" w:color="auto" w:fill="FFFFFF"/>
        </w:rPr>
        <w:t>省公共资源交易平台</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https://ygp.gdzwfw.gov.cn</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广东省自然资源厅：http://nr.gd.gov.cn/</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龙门县人民政府网:（龙门县自然资源局、惠州市公共资源交易中心龙门分中心）：http://www.longmen.gov.cn</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惠州市公共资源交易中心网：http://zyjy.huizhou.gov.cn</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惠州日报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联系电话：0752-7121029</w:t>
      </w:r>
    </w:p>
    <w:p>
      <w:pPr>
        <w:pStyle w:val="2"/>
        <w:keepNext w:val="0"/>
        <w:keepLines w:val="0"/>
        <w:pageBreakBefore w:val="0"/>
        <w:kinsoku/>
        <w:wordWrap/>
        <w:overflowPunct/>
        <w:topLinePunct w:val="0"/>
        <w:autoSpaceDE/>
        <w:autoSpaceDN/>
        <w:bidi w:val="0"/>
        <w:spacing w:line="440" w:lineRule="exact"/>
        <w:ind w:firstLine="4480" w:firstLineChars="1400"/>
        <w:textAlignment w:val="auto"/>
        <w:rPr>
          <w:rFonts w:hint="eastAsia" w:ascii="仿宋_GB2312" w:hAnsi="仿宋_GB2312" w:eastAsia="仿宋_GB2312" w:cs="仿宋_GB2312"/>
          <w:b w:val="0"/>
          <w:bCs w:val="0"/>
          <w:color w:val="auto"/>
          <w:sz w:val="32"/>
          <w:szCs w:val="32"/>
          <w:highlight w:val="none"/>
          <w:u w:val="none"/>
          <w:lang w:val="en-US" w:eastAsia="zh-CN"/>
        </w:rPr>
      </w:pPr>
    </w:p>
    <w:p>
      <w:pPr>
        <w:pStyle w:val="2"/>
        <w:keepNext w:val="0"/>
        <w:keepLines w:val="0"/>
        <w:pageBreakBefore w:val="0"/>
        <w:kinsoku/>
        <w:wordWrap/>
        <w:overflowPunct/>
        <w:topLinePunct w:val="0"/>
        <w:autoSpaceDE/>
        <w:autoSpaceDN/>
        <w:bidi w:val="0"/>
        <w:spacing w:line="440" w:lineRule="exact"/>
        <w:ind w:firstLine="4480" w:firstLineChars="1400"/>
        <w:textAlignment w:val="auto"/>
        <w:rPr>
          <w:rFonts w:hint="eastAsia" w:ascii="仿宋_GB2312" w:hAnsi="仿宋_GB2312" w:eastAsia="仿宋_GB2312" w:cs="仿宋_GB2312"/>
          <w:b w:val="0"/>
          <w:bCs w:val="0"/>
          <w:color w:val="auto"/>
          <w:sz w:val="32"/>
          <w:szCs w:val="32"/>
          <w:highlight w:val="none"/>
          <w:u w:val="none"/>
          <w:lang w:val="en-US" w:eastAsia="zh-CN"/>
        </w:rPr>
      </w:pPr>
    </w:p>
    <w:p>
      <w:pPr>
        <w:pStyle w:val="2"/>
        <w:keepNext w:val="0"/>
        <w:keepLines w:val="0"/>
        <w:pageBreakBefore w:val="0"/>
        <w:kinsoku/>
        <w:wordWrap/>
        <w:overflowPunct/>
        <w:topLinePunct w:val="0"/>
        <w:autoSpaceDE/>
        <w:autoSpaceDN/>
        <w:bidi w:val="0"/>
        <w:spacing w:line="440" w:lineRule="exact"/>
        <w:ind w:firstLine="4480" w:firstLineChars="1400"/>
        <w:textAlignment w:val="auto"/>
        <w:rPr>
          <w:rFonts w:hint="eastAsia" w:ascii="仿宋_GB2312" w:hAnsi="仿宋_GB2312" w:eastAsia="仿宋_GB2312" w:cs="仿宋_GB2312"/>
          <w:b w:val="0"/>
          <w:bCs w:val="0"/>
          <w:color w:val="auto"/>
          <w:sz w:val="32"/>
          <w:szCs w:val="32"/>
          <w:highlight w:val="none"/>
          <w:u w:val="none"/>
          <w:lang w:val="en-US" w:eastAsia="zh-CN"/>
        </w:rPr>
      </w:pPr>
    </w:p>
    <w:p>
      <w:pPr>
        <w:pStyle w:val="2"/>
        <w:keepNext w:val="0"/>
        <w:keepLines w:val="0"/>
        <w:pageBreakBefore w:val="0"/>
        <w:kinsoku/>
        <w:wordWrap/>
        <w:overflowPunct/>
        <w:topLinePunct w:val="0"/>
        <w:autoSpaceDE/>
        <w:autoSpaceDN/>
        <w:bidi w:val="0"/>
        <w:spacing w:line="440" w:lineRule="exact"/>
        <w:ind w:firstLine="4800" w:firstLineChars="1500"/>
        <w:textAlignment w:val="auto"/>
        <w:rPr>
          <w:rFonts w:hint="eastAsia"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u w:val="none"/>
          <w:lang w:val="en-US" w:eastAsia="zh-CN"/>
        </w:rPr>
        <w:t>龙门县</w:t>
      </w:r>
      <w:r>
        <w:rPr>
          <w:rFonts w:hint="eastAsia" w:ascii="仿宋_GB2312" w:hAnsi="仿宋_GB2312" w:eastAsia="仿宋_GB2312" w:cs="仿宋_GB2312"/>
          <w:b w:val="0"/>
          <w:bCs w:val="0"/>
          <w:color w:val="auto"/>
          <w:sz w:val="32"/>
          <w:szCs w:val="32"/>
          <w:highlight w:val="none"/>
        </w:rPr>
        <w:t>自然资源局</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pacing w:line="44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2022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u w:val="none"/>
          <w:lang w:val="en-US" w:eastAsia="zh-CN"/>
        </w:rPr>
        <w:t>9</w:t>
      </w:r>
      <w:r>
        <w:rPr>
          <w:rFonts w:hint="eastAsia" w:ascii="仿宋_GB2312" w:hAnsi="仿宋_GB2312" w:eastAsia="仿宋_GB2312" w:cs="仿宋_GB2312"/>
          <w:b w:val="0"/>
          <w:bCs w:val="0"/>
          <w:color w:val="auto"/>
          <w:sz w:val="32"/>
          <w:szCs w:val="32"/>
          <w:highlight w:val="none"/>
        </w:rPr>
        <w:t>日</w:t>
      </w:r>
    </w:p>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kinsoku/>
        <w:wordWrap/>
        <w:overflowPunct/>
        <w:topLinePunct w:val="0"/>
        <w:bidi w:val="0"/>
        <w:spacing w:line="440" w:lineRule="exact"/>
        <w:rPr>
          <w:rFonts w:hint="eastAsia"/>
          <w:color w:val="auto"/>
          <w:highlight w:val="none"/>
        </w:rPr>
      </w:pPr>
    </w:p>
    <w:p>
      <w:pPr>
        <w:pStyle w:val="2"/>
        <w:keepNext w:val="0"/>
        <w:keepLines w:val="0"/>
        <w:pageBreakBefore w:val="0"/>
        <w:kinsoku/>
        <w:wordWrap/>
        <w:overflowPunct/>
        <w:topLinePunct w:val="0"/>
        <w:bidi w:val="0"/>
        <w:spacing w:line="440" w:lineRule="exact"/>
        <w:rPr>
          <w:color w:val="auto"/>
          <w:highlight w:val="none"/>
        </w:rPr>
      </w:pPr>
    </w:p>
    <w:p>
      <w:pPr>
        <w:keepNext w:val="0"/>
        <w:keepLines w:val="0"/>
        <w:pageBreakBefore w:val="0"/>
        <w:kinsoku/>
        <w:wordWrap/>
        <w:overflowPunct/>
        <w:topLinePunct w:val="0"/>
        <w:bidi w:val="0"/>
        <w:spacing w:line="440" w:lineRule="exact"/>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附表：</w:t>
      </w:r>
    </w:p>
    <w:p>
      <w:pPr>
        <w:keepNext w:val="0"/>
        <w:keepLines w:val="0"/>
        <w:pageBreakBefore w:val="0"/>
        <w:tabs>
          <w:tab w:val="left" w:pos="9720"/>
        </w:tabs>
        <w:kinsoku/>
        <w:wordWrap/>
        <w:overflowPunct/>
        <w:topLinePunct w:val="0"/>
        <w:bidi w:val="0"/>
        <w:spacing w:line="440" w:lineRule="exact"/>
        <w:jc w:val="center"/>
        <w:rPr>
          <w:rFonts w:ascii="仿宋_GB2312" w:hAnsi="宋体" w:eastAsia="仿宋_GB2312"/>
          <w:b w:val="0"/>
          <w:bCs w:val="0"/>
          <w:color w:val="auto"/>
          <w:sz w:val="32"/>
          <w:szCs w:val="32"/>
          <w:highlight w:val="none"/>
        </w:rPr>
      </w:pPr>
      <w:r>
        <w:rPr>
          <w:rFonts w:hint="eastAsia" w:ascii="仿宋_GB2312" w:hAnsi="宋体" w:eastAsia="仿宋_GB2312"/>
          <w:b w:val="0"/>
          <w:bCs w:val="0"/>
          <w:color w:val="auto"/>
          <w:sz w:val="32"/>
          <w:szCs w:val="32"/>
          <w:highlight w:val="none"/>
        </w:rPr>
        <w:t>网上挂牌出让地块基本情况及规划建设指标</w:t>
      </w:r>
    </w:p>
    <w:tbl>
      <w:tblPr>
        <w:tblStyle w:val="8"/>
        <w:tblpPr w:leftFromText="180" w:rightFromText="180" w:vertAnchor="text" w:tblpXSpec="center" w:tblpY="1"/>
        <w:tblOverlap w:val="never"/>
        <w:tblW w:w="14243" w:type="dxa"/>
        <w:tblInd w:w="-20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660"/>
        <w:gridCol w:w="1238"/>
        <w:gridCol w:w="437"/>
        <w:gridCol w:w="892"/>
        <w:gridCol w:w="826"/>
        <w:gridCol w:w="787"/>
        <w:gridCol w:w="733"/>
        <w:gridCol w:w="767"/>
        <w:gridCol w:w="902"/>
        <w:gridCol w:w="750"/>
        <w:gridCol w:w="1704"/>
        <w:gridCol w:w="1569"/>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28" w:type="dxa"/>
            <w:vMerge w:val="restart"/>
            <w:vAlign w:val="center"/>
          </w:tcPr>
          <w:p>
            <w:pPr>
              <w:keepNext w:val="0"/>
              <w:keepLines w:val="0"/>
              <w:pageBreakBefore w:val="0"/>
              <w:kinsoku/>
              <w:wordWrap/>
              <w:overflowPunct/>
              <w:topLinePunct w:val="0"/>
              <w:bidi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挂牌地块编号</w:t>
            </w:r>
          </w:p>
        </w:tc>
        <w:tc>
          <w:tcPr>
            <w:tcW w:w="1660" w:type="dxa"/>
            <w:vMerge w:val="restart"/>
            <w:vAlign w:val="center"/>
          </w:tcPr>
          <w:p>
            <w:pPr>
              <w:keepNext w:val="0"/>
              <w:keepLines w:val="0"/>
              <w:pageBreakBefore w:val="0"/>
              <w:kinsoku/>
              <w:wordWrap/>
              <w:overflowPunct/>
              <w:topLinePunct w:val="0"/>
              <w:bidi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土地</w:t>
            </w:r>
          </w:p>
          <w:p>
            <w:pPr>
              <w:keepNext w:val="0"/>
              <w:keepLines w:val="0"/>
              <w:pageBreakBefore w:val="0"/>
              <w:kinsoku/>
              <w:wordWrap/>
              <w:overflowPunct/>
              <w:topLinePunct w:val="0"/>
              <w:bidi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位置</w:t>
            </w:r>
          </w:p>
        </w:tc>
        <w:tc>
          <w:tcPr>
            <w:tcW w:w="1238" w:type="dxa"/>
            <w:vMerge w:val="restart"/>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用地编号</w:t>
            </w:r>
          </w:p>
        </w:tc>
        <w:tc>
          <w:tcPr>
            <w:tcW w:w="437" w:type="dxa"/>
            <w:vMerge w:val="restart"/>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土地</w:t>
            </w:r>
          </w:p>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用途</w:t>
            </w:r>
          </w:p>
        </w:tc>
        <w:tc>
          <w:tcPr>
            <w:tcW w:w="8930" w:type="dxa"/>
            <w:gridSpan w:val="9"/>
            <w:vAlign w:val="center"/>
          </w:tcPr>
          <w:p>
            <w:pPr>
              <w:keepNext w:val="0"/>
              <w:keepLines w:val="0"/>
              <w:pageBreakBefore w:val="0"/>
              <w:kinsoku/>
              <w:wordWrap/>
              <w:overflowPunct/>
              <w:topLinePunct w:val="0"/>
              <w:bidi w:val="0"/>
              <w:adjustRightInd w:val="0"/>
              <w:snapToGrid w:val="0"/>
              <w:spacing w:line="440" w:lineRule="exact"/>
              <w:ind w:left="26" w:leftChars="-89" w:hanging="213" w:hangingChars="89"/>
              <w:jc w:val="center"/>
              <w:rPr>
                <w:rFonts w:hint="eastAsia"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规划指标要求</w:t>
            </w:r>
          </w:p>
        </w:tc>
        <w:tc>
          <w:tcPr>
            <w:tcW w:w="750" w:type="dxa"/>
            <w:vMerge w:val="restart"/>
            <w:vAlign w:val="center"/>
          </w:tcPr>
          <w:p>
            <w:pPr>
              <w:keepNext w:val="0"/>
              <w:keepLines w:val="0"/>
              <w:pageBreakBefore w:val="0"/>
              <w:kinsoku/>
              <w:wordWrap/>
              <w:overflowPunct/>
              <w:topLinePunct w:val="0"/>
              <w:autoSpaceDE w:val="0"/>
              <w:autoSpaceDN w:val="0"/>
              <w:bidi w:val="0"/>
              <w:adjustRightInd w:val="0"/>
              <w:spacing w:line="440" w:lineRule="exact"/>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228" w:type="dxa"/>
            <w:vMerge w:val="continue"/>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p>
        </w:tc>
        <w:tc>
          <w:tcPr>
            <w:tcW w:w="1660" w:type="dxa"/>
            <w:vMerge w:val="continue"/>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p>
        </w:tc>
        <w:tc>
          <w:tcPr>
            <w:tcW w:w="1238" w:type="dxa"/>
            <w:vMerge w:val="continue"/>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p>
        </w:tc>
        <w:tc>
          <w:tcPr>
            <w:tcW w:w="437" w:type="dxa"/>
            <w:vMerge w:val="continue"/>
            <w:vAlign w:val="center"/>
          </w:tcPr>
          <w:p>
            <w:pPr>
              <w:keepNext w:val="0"/>
              <w:keepLines w:val="0"/>
              <w:pageBreakBefore w:val="0"/>
              <w:kinsoku/>
              <w:wordWrap/>
              <w:overflowPunct/>
              <w:topLinePunct w:val="0"/>
              <w:bidi w:val="0"/>
              <w:adjustRightInd w:val="0"/>
              <w:snapToGrid w:val="0"/>
              <w:spacing w:line="440" w:lineRule="exact"/>
              <w:jc w:val="center"/>
              <w:rPr>
                <w:rFonts w:ascii="仿宋_GB2312" w:hAnsi="宋体" w:eastAsia="仿宋_GB2312"/>
                <w:b w:val="0"/>
                <w:bCs w:val="0"/>
                <w:color w:val="auto"/>
                <w:sz w:val="24"/>
                <w:szCs w:val="24"/>
                <w:highlight w:val="none"/>
              </w:rPr>
            </w:pPr>
          </w:p>
        </w:tc>
        <w:tc>
          <w:tcPr>
            <w:tcW w:w="892" w:type="dxa"/>
            <w:vAlign w:val="center"/>
          </w:tcPr>
          <w:p>
            <w:pPr>
              <w:keepNext w:val="0"/>
              <w:keepLines w:val="0"/>
              <w:pageBreakBefore w:val="0"/>
              <w:kinsoku/>
              <w:wordWrap/>
              <w:overflowPunct/>
              <w:topLinePunct w:val="0"/>
              <w:bidi w:val="0"/>
              <w:spacing w:line="440" w:lineRule="exact"/>
              <w:jc w:val="center"/>
              <w:rPr>
                <w:rFonts w:hint="eastAsia" w:ascii="仿宋_GB2312" w:hAnsi="宋体" w:eastAsia="仿宋_GB2312"/>
                <w:b w:val="0"/>
                <w:bCs w:val="0"/>
                <w:color w:val="auto"/>
                <w:sz w:val="24"/>
                <w:szCs w:val="24"/>
                <w:highlight w:val="none"/>
                <w:lang w:eastAsia="zh-CN"/>
              </w:rPr>
            </w:pPr>
            <w:r>
              <w:rPr>
                <w:rFonts w:hint="eastAsia" w:ascii="仿宋_GB2312" w:hAnsi="宋体" w:eastAsia="仿宋_GB2312"/>
                <w:b w:val="0"/>
                <w:bCs w:val="0"/>
                <w:color w:val="auto"/>
                <w:sz w:val="24"/>
                <w:szCs w:val="24"/>
                <w:highlight w:val="none"/>
              </w:rPr>
              <w:t>计算指标用地面积</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公顷</w:t>
            </w:r>
            <w:r>
              <w:rPr>
                <w:rFonts w:hint="eastAsia" w:ascii="仿宋_GB2312" w:hAnsi="宋体" w:eastAsia="仿宋_GB2312"/>
                <w:b w:val="0"/>
                <w:bCs w:val="0"/>
                <w:color w:val="auto"/>
                <w:sz w:val="24"/>
                <w:szCs w:val="24"/>
                <w:highlight w:val="none"/>
                <w:lang w:eastAsia="zh-CN"/>
              </w:rPr>
              <w:t>）</w:t>
            </w:r>
          </w:p>
        </w:tc>
        <w:tc>
          <w:tcPr>
            <w:tcW w:w="826"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hint="eastAsia" w:ascii="仿宋_GB2312" w:hAnsi="宋体" w:eastAsia="仿宋_GB2312"/>
                <w:b w:val="0"/>
                <w:bCs w:val="0"/>
                <w:color w:val="auto"/>
                <w:sz w:val="24"/>
                <w:szCs w:val="24"/>
                <w:highlight w:val="none"/>
                <w:lang w:eastAsia="zh-CN"/>
              </w:rPr>
            </w:pPr>
            <w:r>
              <w:rPr>
                <w:rFonts w:hint="eastAsia" w:ascii="仿宋_GB2312" w:hAnsi="宋体" w:eastAsia="仿宋_GB2312"/>
                <w:b w:val="0"/>
                <w:bCs w:val="0"/>
                <w:color w:val="auto"/>
                <w:sz w:val="24"/>
                <w:szCs w:val="24"/>
                <w:highlight w:val="none"/>
              </w:rPr>
              <w:t>宗地使用权面积</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公顷</w:t>
            </w:r>
            <w:r>
              <w:rPr>
                <w:rFonts w:hint="eastAsia" w:ascii="仿宋_GB2312" w:hAnsi="宋体" w:eastAsia="仿宋_GB2312"/>
                <w:b w:val="0"/>
                <w:bCs w:val="0"/>
                <w:color w:val="auto"/>
                <w:sz w:val="24"/>
                <w:szCs w:val="24"/>
                <w:highlight w:val="none"/>
                <w:lang w:eastAsia="zh-CN"/>
              </w:rPr>
              <w:t>）</w:t>
            </w:r>
          </w:p>
        </w:tc>
        <w:tc>
          <w:tcPr>
            <w:tcW w:w="787"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建筑密度</w:t>
            </w:r>
          </w:p>
        </w:tc>
        <w:tc>
          <w:tcPr>
            <w:tcW w:w="733"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容积率</w:t>
            </w:r>
          </w:p>
        </w:tc>
        <w:tc>
          <w:tcPr>
            <w:tcW w:w="767" w:type="dxa"/>
            <w:vAlign w:val="center"/>
          </w:tcPr>
          <w:p>
            <w:pPr>
              <w:keepNext w:val="0"/>
              <w:keepLines w:val="0"/>
              <w:pageBreakBefore w:val="0"/>
              <w:kinsoku/>
              <w:wordWrap/>
              <w:overflowPunct/>
              <w:topLinePunct w:val="0"/>
              <w:bidi w:val="0"/>
              <w:spacing w:line="440" w:lineRule="exact"/>
              <w:ind w:left="67" w:right="-53" w:rightChars="-25" w:hanging="50" w:hangingChars="21"/>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计容积率建筑面积</w:t>
            </w:r>
          </w:p>
        </w:tc>
        <w:tc>
          <w:tcPr>
            <w:tcW w:w="902"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绿地率</w:t>
            </w:r>
          </w:p>
        </w:tc>
        <w:tc>
          <w:tcPr>
            <w:tcW w:w="750"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hint="eastAsia" w:ascii="仿宋_GB2312" w:hAnsi="宋体" w:eastAsia="仿宋_GB2312"/>
                <w:b w:val="0"/>
                <w:bCs w:val="0"/>
                <w:color w:val="auto"/>
                <w:sz w:val="24"/>
                <w:szCs w:val="24"/>
                <w:highlight w:val="none"/>
                <w:lang w:val="en-US" w:eastAsia="zh-CN"/>
              </w:rPr>
            </w:pPr>
            <w:r>
              <w:rPr>
                <w:rFonts w:hint="eastAsia" w:ascii="仿宋_GB2312" w:hAnsi="宋体" w:eastAsia="仿宋_GB2312"/>
                <w:b w:val="0"/>
                <w:bCs w:val="0"/>
                <w:color w:val="auto"/>
                <w:sz w:val="24"/>
                <w:szCs w:val="24"/>
                <w:highlight w:val="none"/>
                <w:lang w:val="en-US" w:eastAsia="zh-CN"/>
              </w:rPr>
              <w:t>建筑高度（米）</w:t>
            </w:r>
          </w:p>
        </w:tc>
        <w:tc>
          <w:tcPr>
            <w:tcW w:w="1704"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机动车停车位（个）</w:t>
            </w:r>
          </w:p>
        </w:tc>
        <w:tc>
          <w:tcPr>
            <w:tcW w:w="1569" w:type="dxa"/>
            <w:vAlign w:val="center"/>
          </w:tcPr>
          <w:p>
            <w:pPr>
              <w:keepNext w:val="0"/>
              <w:keepLines w:val="0"/>
              <w:pageBreakBefore w:val="0"/>
              <w:kinsoku/>
              <w:wordWrap/>
              <w:overflowPunct/>
              <w:topLinePunct w:val="0"/>
              <w:autoSpaceDE w:val="0"/>
              <w:autoSpaceDN w:val="0"/>
              <w:bidi w:val="0"/>
              <w:adjustRightInd w:val="0"/>
              <w:spacing w:line="4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适建性</w:t>
            </w:r>
          </w:p>
        </w:tc>
        <w:tc>
          <w:tcPr>
            <w:tcW w:w="750" w:type="dxa"/>
            <w:vMerge w:val="continue"/>
            <w:vAlign w:val="center"/>
          </w:tcPr>
          <w:p>
            <w:pPr>
              <w:keepNext w:val="0"/>
              <w:keepLines w:val="0"/>
              <w:pageBreakBefore w:val="0"/>
              <w:kinsoku/>
              <w:wordWrap/>
              <w:overflowPunct/>
              <w:topLinePunct w:val="0"/>
              <w:autoSpaceDE w:val="0"/>
              <w:autoSpaceDN w:val="0"/>
              <w:bidi w:val="0"/>
              <w:adjustRightInd w:val="0"/>
              <w:spacing w:line="440" w:lineRule="exact"/>
              <w:rPr>
                <w:rFonts w:ascii="仿宋_GB2312" w:hAnsi="宋体" w:eastAsia="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1228" w:type="dxa"/>
            <w:tcMar>
              <w:left w:w="0" w:type="dxa"/>
              <w:right w:w="0" w:type="dxa"/>
            </w:tcMar>
            <w:vAlign w:val="center"/>
          </w:tcPr>
          <w:p>
            <w:pPr>
              <w:keepNext w:val="0"/>
              <w:keepLines w:val="0"/>
              <w:pageBreakBefore w:val="0"/>
              <w:kinsoku/>
              <w:wordWrap/>
              <w:overflowPunct/>
              <w:topLinePunct w:val="0"/>
              <w:bidi w:val="0"/>
              <w:spacing w:line="440" w:lineRule="exact"/>
              <w:jc w:val="both"/>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LM2022-22</w:t>
            </w:r>
          </w:p>
        </w:tc>
        <w:tc>
          <w:tcPr>
            <w:tcW w:w="1660" w:type="dxa"/>
            <w:vAlign w:val="center"/>
          </w:tcPr>
          <w:p>
            <w:pPr>
              <w:keepNext w:val="0"/>
              <w:keepLines w:val="0"/>
              <w:pageBreakBefore w:val="0"/>
              <w:kinsoku/>
              <w:wordWrap/>
              <w:overflowPunct/>
              <w:topLinePunct w:val="0"/>
              <w:bidi w:val="0"/>
              <w:spacing w:line="440" w:lineRule="exact"/>
              <w:jc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Times New Roman"/>
                <w:b w:val="0"/>
                <w:bCs w:val="0"/>
                <w:color w:val="auto"/>
                <w:sz w:val="24"/>
                <w:szCs w:val="24"/>
                <w:highlight w:val="none"/>
                <w:lang w:val="en-US" w:eastAsia="zh-CN"/>
              </w:rPr>
              <w:t>永汉镇麻布片区</w:t>
            </w:r>
          </w:p>
        </w:tc>
        <w:tc>
          <w:tcPr>
            <w:tcW w:w="1238" w:type="dxa"/>
            <w:vAlign w:val="center"/>
          </w:tcPr>
          <w:p>
            <w:pPr>
              <w:pStyle w:val="7"/>
              <w:keepNext w:val="0"/>
              <w:keepLines w:val="0"/>
              <w:pageBreakBefore w:val="0"/>
              <w:widowControl/>
              <w:suppressLineNumbers w:val="0"/>
              <w:kinsoku/>
              <w:wordWrap/>
              <w:overflowPunct/>
              <w:topLinePunct w:val="0"/>
              <w:bidi w:val="0"/>
              <w:spacing w:before="0" w:beforeAutospacing="0" w:after="0" w:afterAutospacing="0" w:line="440" w:lineRule="exact"/>
              <w:ind w:left="0" w:right="0" w:firstLine="0"/>
              <w:rPr>
                <w:rFonts w:hint="default" w:eastAsia="宋体"/>
                <w:color w:val="auto"/>
                <w:highlight w:val="none"/>
                <w:lang w:val="en-US" w:eastAsia="zh-CN"/>
              </w:rPr>
            </w:pPr>
            <w:r>
              <w:rPr>
                <w:rFonts w:hint="eastAsia"/>
                <w:color w:val="auto"/>
                <w:highlight w:val="none"/>
                <w:lang w:val="en-US" w:eastAsia="zh-CN"/>
              </w:rPr>
              <w:t>MBPQ-01-06</w:t>
            </w:r>
          </w:p>
          <w:p>
            <w:pPr>
              <w:keepNext w:val="0"/>
              <w:keepLines w:val="0"/>
              <w:pageBreakBefore w:val="0"/>
              <w:kinsoku/>
              <w:wordWrap/>
              <w:overflowPunct/>
              <w:topLinePunct w:val="0"/>
              <w:bidi w:val="0"/>
              <w:spacing w:line="440" w:lineRule="exact"/>
              <w:jc w:val="center"/>
              <w:rPr>
                <w:rFonts w:ascii="仿宋_GB2312" w:hAnsi="宋体" w:eastAsia="仿宋_GB2312" w:cs="仿宋_GB2312"/>
                <w:b w:val="0"/>
                <w:bCs w:val="0"/>
                <w:color w:val="auto"/>
                <w:sz w:val="24"/>
                <w:szCs w:val="24"/>
                <w:highlight w:val="none"/>
              </w:rPr>
            </w:pPr>
          </w:p>
        </w:tc>
        <w:tc>
          <w:tcPr>
            <w:tcW w:w="437" w:type="dxa"/>
            <w:tcMar>
              <w:left w:w="0" w:type="dxa"/>
              <w:right w:w="0" w:type="dxa"/>
            </w:tcMar>
            <w:vAlign w:val="center"/>
          </w:tcPr>
          <w:p>
            <w:pPr>
              <w:keepNext w:val="0"/>
              <w:keepLines w:val="0"/>
              <w:pageBreakBefore w:val="0"/>
              <w:kinsoku/>
              <w:wordWrap/>
              <w:overflowPunct/>
              <w:topLinePunct w:val="0"/>
              <w:bidi w:val="0"/>
              <w:spacing w:line="440" w:lineRule="exact"/>
              <w:jc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城镇住宅用地</w:t>
            </w:r>
          </w:p>
        </w:tc>
        <w:tc>
          <w:tcPr>
            <w:tcW w:w="892" w:type="dxa"/>
            <w:vAlign w:val="center"/>
          </w:tcPr>
          <w:p>
            <w:pPr>
              <w:keepNext w:val="0"/>
              <w:keepLines w:val="0"/>
              <w:pageBreakBefore w:val="0"/>
              <w:kinsoku/>
              <w:wordWrap/>
              <w:overflowPunct/>
              <w:topLinePunct w:val="0"/>
              <w:bidi w:val="0"/>
              <w:spacing w:line="440" w:lineRule="exact"/>
              <w:jc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2.906824</w:t>
            </w:r>
          </w:p>
        </w:tc>
        <w:tc>
          <w:tcPr>
            <w:tcW w:w="826" w:type="dxa"/>
            <w:vAlign w:val="center"/>
          </w:tcPr>
          <w:p>
            <w:pPr>
              <w:keepNext w:val="0"/>
              <w:keepLines w:val="0"/>
              <w:pageBreakBefore w:val="0"/>
              <w:kinsoku/>
              <w:wordWrap/>
              <w:overflowPunct/>
              <w:topLinePunct w:val="0"/>
              <w:bidi w:val="0"/>
              <w:spacing w:line="440" w:lineRule="exact"/>
              <w:jc w:val="center"/>
              <w:rPr>
                <w:rFonts w:ascii="仿宋_GB2312" w:hAnsi="宋体" w:eastAsia="仿宋_GB2312" w:cs="仿宋_GB2312"/>
                <w:b w:val="0"/>
                <w:bCs w:val="0"/>
                <w:color w:val="auto"/>
                <w:sz w:val="24"/>
                <w:szCs w:val="24"/>
                <w:highlight w:val="none"/>
              </w:rPr>
            </w:pPr>
            <w:r>
              <w:rPr>
                <w:rFonts w:hint="eastAsia" w:ascii="仿宋_GB2312" w:hAnsi="宋体" w:eastAsia="仿宋_GB2312" w:cs="仿宋_GB2312"/>
                <w:b w:val="0"/>
                <w:bCs w:val="0"/>
                <w:color w:val="auto"/>
                <w:sz w:val="24"/>
                <w:szCs w:val="24"/>
                <w:highlight w:val="none"/>
                <w:lang w:val="en-US" w:eastAsia="zh-CN"/>
              </w:rPr>
              <w:t>2.906824</w:t>
            </w:r>
          </w:p>
        </w:tc>
        <w:tc>
          <w:tcPr>
            <w:tcW w:w="787" w:type="dxa"/>
            <w:vAlign w:val="center"/>
          </w:tcPr>
          <w:p>
            <w:pPr>
              <w:keepNext w:val="0"/>
              <w:keepLines w:val="0"/>
              <w:pageBreakBefore w:val="0"/>
              <w:kinsoku/>
              <w:wordWrap/>
              <w:overflowPunct/>
              <w:topLinePunct w:val="0"/>
              <w:bidi w:val="0"/>
              <w:spacing w:line="440" w:lineRule="exact"/>
              <w:jc w:val="both"/>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≤30%</w:t>
            </w:r>
          </w:p>
        </w:tc>
        <w:tc>
          <w:tcPr>
            <w:tcW w:w="733" w:type="dxa"/>
            <w:vAlign w:val="center"/>
          </w:tcPr>
          <w:p>
            <w:pPr>
              <w:keepNext w:val="0"/>
              <w:keepLines w:val="0"/>
              <w:pageBreakBefore w:val="0"/>
              <w:kinsoku/>
              <w:wordWrap/>
              <w:overflowPunct/>
              <w:topLinePunct w:val="0"/>
              <w:bidi w:val="0"/>
              <w:spacing w:line="440" w:lineRule="exact"/>
              <w:jc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1.0-1.5</w:t>
            </w:r>
          </w:p>
        </w:tc>
        <w:tc>
          <w:tcPr>
            <w:tcW w:w="767" w:type="dxa"/>
            <w:vAlign w:val="center"/>
          </w:tcPr>
          <w:p>
            <w:pPr>
              <w:keepNext w:val="0"/>
              <w:keepLines w:val="0"/>
              <w:pageBreakBefore w:val="0"/>
              <w:kinsoku/>
              <w:wordWrap/>
              <w:overflowPunct/>
              <w:topLinePunct w:val="0"/>
              <w:bidi w:val="0"/>
              <w:spacing w:line="440" w:lineRule="exact"/>
              <w:jc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29068.24㎡-43602.36㎡</w:t>
            </w:r>
          </w:p>
        </w:tc>
        <w:tc>
          <w:tcPr>
            <w:tcW w:w="902" w:type="dxa"/>
            <w:vAlign w:val="center"/>
          </w:tcPr>
          <w:p>
            <w:pPr>
              <w:keepNext w:val="0"/>
              <w:keepLines w:val="0"/>
              <w:pageBreakBefore w:val="0"/>
              <w:kinsoku/>
              <w:wordWrap/>
              <w:overflowPunct/>
              <w:topLinePunct w:val="0"/>
              <w:bidi w:val="0"/>
              <w:spacing w:line="440" w:lineRule="exact"/>
              <w:jc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≥30%</w:t>
            </w:r>
          </w:p>
        </w:tc>
        <w:tc>
          <w:tcPr>
            <w:tcW w:w="750" w:type="dxa"/>
            <w:vAlign w:val="center"/>
          </w:tcPr>
          <w:p>
            <w:pPr>
              <w:keepNext w:val="0"/>
              <w:keepLines w:val="0"/>
              <w:pageBreakBefore w:val="0"/>
              <w:kinsoku/>
              <w:wordWrap/>
              <w:overflowPunct/>
              <w:topLinePunct w:val="0"/>
              <w:bidi w:val="0"/>
              <w:spacing w:line="440" w:lineRule="exact"/>
              <w:jc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≤60</w:t>
            </w:r>
          </w:p>
        </w:tc>
        <w:tc>
          <w:tcPr>
            <w:tcW w:w="1704" w:type="dxa"/>
            <w:vAlign w:val="center"/>
          </w:tcPr>
          <w:p>
            <w:pPr>
              <w:keepNext w:val="0"/>
              <w:keepLines w:val="0"/>
              <w:pageBreakBefore w:val="0"/>
              <w:kinsoku/>
              <w:wordWrap/>
              <w:overflowPunct/>
              <w:topLinePunct w:val="0"/>
              <w:bidi w:val="0"/>
              <w:spacing w:line="440" w:lineRule="exact"/>
              <w:jc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每100㎡计容积率建筑面积≥1.0个</w:t>
            </w:r>
          </w:p>
        </w:tc>
        <w:tc>
          <w:tcPr>
            <w:tcW w:w="1569" w:type="dxa"/>
            <w:vAlign w:val="center"/>
          </w:tcPr>
          <w:p>
            <w:pPr>
              <w:keepNext w:val="0"/>
              <w:keepLines w:val="0"/>
              <w:pageBreakBefore w:val="0"/>
              <w:kinsoku/>
              <w:wordWrap/>
              <w:overflowPunct/>
              <w:topLinePunct w:val="0"/>
              <w:bidi w:val="0"/>
              <w:spacing w:line="440" w:lineRule="exact"/>
              <w:jc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住宅、商业及配套设施</w:t>
            </w:r>
          </w:p>
        </w:tc>
        <w:tc>
          <w:tcPr>
            <w:tcW w:w="750" w:type="dxa"/>
            <w:vAlign w:val="center"/>
          </w:tcPr>
          <w:p>
            <w:pPr>
              <w:keepNext w:val="0"/>
              <w:keepLines w:val="0"/>
              <w:pageBreakBefore w:val="0"/>
              <w:kinsoku/>
              <w:wordWrap/>
              <w:overflowPunct/>
              <w:topLinePunct w:val="0"/>
              <w:bidi w:val="0"/>
              <w:spacing w:line="440" w:lineRule="exact"/>
              <w:jc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1228"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both"/>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LM2022-23</w:t>
            </w:r>
          </w:p>
        </w:tc>
        <w:tc>
          <w:tcPr>
            <w:tcW w:w="166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Times New Roman"/>
                <w:b w:val="0"/>
                <w:bCs w:val="0"/>
                <w:color w:val="auto"/>
                <w:sz w:val="24"/>
                <w:szCs w:val="24"/>
                <w:highlight w:val="none"/>
              </w:rPr>
            </w:pPr>
            <w:r>
              <w:rPr>
                <w:rFonts w:hint="eastAsia" w:ascii="仿宋_GB2312" w:hAnsi="宋体" w:eastAsia="仿宋_GB2312" w:cs="Times New Roman"/>
                <w:b w:val="0"/>
                <w:bCs w:val="0"/>
                <w:color w:val="auto"/>
                <w:sz w:val="24"/>
                <w:szCs w:val="24"/>
                <w:highlight w:val="none"/>
                <w:lang w:val="en-US" w:eastAsia="zh-CN"/>
              </w:rPr>
              <w:t>永汉镇麻布片区</w:t>
            </w:r>
          </w:p>
        </w:tc>
        <w:tc>
          <w:tcPr>
            <w:tcW w:w="1238" w:type="dxa"/>
            <w:vAlign w:val="center"/>
          </w:tcPr>
          <w:p>
            <w:pPr>
              <w:pStyle w:val="7"/>
              <w:keepNext w:val="0"/>
              <w:keepLines w:val="0"/>
              <w:pageBreakBefore w:val="0"/>
              <w:widowControl/>
              <w:suppressLineNumbers w:val="0"/>
              <w:kinsoku/>
              <w:wordWrap/>
              <w:overflowPunct/>
              <w:topLinePunct w:val="0"/>
              <w:bidi w:val="0"/>
              <w:spacing w:before="0" w:beforeAutospacing="0" w:after="0" w:afterAutospacing="0" w:line="440" w:lineRule="exact"/>
              <w:ind w:left="0" w:right="0" w:firstLine="0"/>
              <w:rPr>
                <w:rFonts w:hint="default" w:eastAsia="宋体"/>
                <w:color w:val="auto"/>
                <w:highlight w:val="none"/>
                <w:lang w:val="en-US" w:eastAsia="zh-CN"/>
              </w:rPr>
            </w:pPr>
            <w:r>
              <w:rPr>
                <w:rFonts w:hint="eastAsia"/>
                <w:color w:val="auto"/>
                <w:highlight w:val="none"/>
                <w:lang w:val="en-US" w:eastAsia="zh-CN"/>
              </w:rPr>
              <w:t>MBPQ-02-06-01</w:t>
            </w:r>
          </w:p>
          <w:p>
            <w:pPr>
              <w:keepNext w:val="0"/>
              <w:keepLines w:val="0"/>
              <w:pageBreakBefore w:val="0"/>
              <w:widowControl/>
              <w:suppressLineNumbers w:val="0"/>
              <w:kinsoku/>
              <w:wordWrap/>
              <w:overflowPunct/>
              <w:topLinePunct w:val="0"/>
              <w:bidi w:val="0"/>
              <w:spacing w:line="440" w:lineRule="exact"/>
              <w:jc w:val="left"/>
              <w:textAlignment w:val="center"/>
              <w:rPr>
                <w:rFonts w:hint="eastAsia" w:ascii="仿宋_GB2312" w:hAnsi="宋体" w:eastAsia="仿宋_GB2312" w:cs="仿宋_GB2312"/>
                <w:b w:val="0"/>
                <w:bCs w:val="0"/>
                <w:color w:val="auto"/>
                <w:sz w:val="24"/>
                <w:szCs w:val="24"/>
                <w:highlight w:val="none"/>
                <w:lang w:val="en-US" w:eastAsia="zh-CN"/>
              </w:rPr>
            </w:pPr>
          </w:p>
        </w:tc>
        <w:tc>
          <w:tcPr>
            <w:tcW w:w="437"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旅馆用地</w:t>
            </w:r>
          </w:p>
        </w:tc>
        <w:tc>
          <w:tcPr>
            <w:tcW w:w="892"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rPr>
            </w:pPr>
            <w:r>
              <w:rPr>
                <w:rFonts w:hint="eastAsia" w:ascii="仿宋_GB2312" w:hAnsi="宋体" w:eastAsia="仿宋_GB2312" w:cs="仿宋_GB2312"/>
                <w:b w:val="0"/>
                <w:bCs w:val="0"/>
                <w:color w:val="auto"/>
                <w:sz w:val="24"/>
                <w:szCs w:val="24"/>
                <w:highlight w:val="none"/>
                <w:lang w:val="en-US" w:eastAsia="zh-CN"/>
              </w:rPr>
              <w:t>0.613462</w:t>
            </w:r>
          </w:p>
        </w:tc>
        <w:tc>
          <w:tcPr>
            <w:tcW w:w="826"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rPr>
            </w:pPr>
            <w:r>
              <w:rPr>
                <w:rFonts w:hint="eastAsia" w:ascii="仿宋_GB2312" w:hAnsi="宋体" w:eastAsia="仿宋_GB2312" w:cs="仿宋_GB2312"/>
                <w:b w:val="0"/>
                <w:bCs w:val="0"/>
                <w:color w:val="auto"/>
                <w:sz w:val="24"/>
                <w:szCs w:val="24"/>
                <w:highlight w:val="none"/>
                <w:lang w:val="en-US" w:eastAsia="zh-CN"/>
              </w:rPr>
              <w:t>0.613462</w:t>
            </w:r>
          </w:p>
        </w:tc>
        <w:tc>
          <w:tcPr>
            <w:tcW w:w="787"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≤40%</w:t>
            </w:r>
          </w:p>
        </w:tc>
        <w:tc>
          <w:tcPr>
            <w:tcW w:w="733"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≤1.0</w:t>
            </w:r>
          </w:p>
        </w:tc>
        <w:tc>
          <w:tcPr>
            <w:tcW w:w="767"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≤6134.62㎡</w:t>
            </w:r>
          </w:p>
        </w:tc>
        <w:tc>
          <w:tcPr>
            <w:tcW w:w="902"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≥25</w:t>
            </w:r>
          </w:p>
        </w:tc>
        <w:tc>
          <w:tcPr>
            <w:tcW w:w="75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≤45</w:t>
            </w:r>
          </w:p>
        </w:tc>
        <w:tc>
          <w:tcPr>
            <w:tcW w:w="1704"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仿宋_GB2312" w:hAnsi="宋体" w:eastAsia="仿宋_GB2312" w:cs="仿宋_GB2312"/>
                <w:b w:val="0"/>
                <w:bCs w:val="0"/>
                <w:color w:val="auto"/>
                <w:sz w:val="24"/>
                <w:szCs w:val="24"/>
                <w:highlight w:val="none"/>
                <w:lang w:val="en-US" w:eastAsia="zh-CN"/>
              </w:rPr>
              <w:t>每100㎡计容积率建筑面积≥1.0个</w:t>
            </w:r>
          </w:p>
        </w:tc>
        <w:tc>
          <w:tcPr>
            <w:tcW w:w="1569"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75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1228"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both"/>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LM2022-24</w:t>
            </w:r>
          </w:p>
        </w:tc>
        <w:tc>
          <w:tcPr>
            <w:tcW w:w="166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Times New Roman"/>
                <w:b w:val="0"/>
                <w:bCs w:val="0"/>
                <w:color w:val="auto"/>
                <w:sz w:val="24"/>
                <w:szCs w:val="24"/>
                <w:highlight w:val="none"/>
              </w:rPr>
            </w:pPr>
            <w:r>
              <w:rPr>
                <w:rFonts w:hint="eastAsia" w:ascii="仿宋_GB2312" w:hAnsi="宋体" w:eastAsia="仿宋_GB2312" w:cs="Times New Roman"/>
                <w:b w:val="0"/>
                <w:bCs w:val="0"/>
                <w:color w:val="auto"/>
                <w:sz w:val="24"/>
                <w:szCs w:val="24"/>
                <w:highlight w:val="none"/>
                <w:lang w:val="en-US" w:eastAsia="zh-CN"/>
              </w:rPr>
              <w:t>永汉镇麻布片区</w:t>
            </w:r>
          </w:p>
        </w:tc>
        <w:tc>
          <w:tcPr>
            <w:tcW w:w="1238" w:type="dxa"/>
            <w:vAlign w:val="center"/>
          </w:tcPr>
          <w:p>
            <w:pPr>
              <w:pStyle w:val="7"/>
              <w:keepNext w:val="0"/>
              <w:keepLines w:val="0"/>
              <w:pageBreakBefore w:val="0"/>
              <w:widowControl/>
              <w:suppressLineNumbers w:val="0"/>
              <w:kinsoku/>
              <w:wordWrap/>
              <w:overflowPunct/>
              <w:topLinePunct w:val="0"/>
              <w:bidi w:val="0"/>
              <w:spacing w:before="0" w:beforeAutospacing="0" w:after="0" w:afterAutospacing="0" w:line="440" w:lineRule="exact"/>
              <w:ind w:left="0" w:right="0" w:firstLine="0"/>
              <w:rPr>
                <w:rFonts w:hint="default" w:eastAsia="宋体"/>
                <w:color w:val="auto"/>
                <w:highlight w:val="none"/>
                <w:lang w:val="en-US" w:eastAsia="zh-CN"/>
              </w:rPr>
            </w:pPr>
            <w:r>
              <w:rPr>
                <w:rFonts w:hint="eastAsia"/>
                <w:color w:val="auto"/>
                <w:highlight w:val="none"/>
                <w:lang w:val="en-US" w:eastAsia="zh-CN"/>
              </w:rPr>
              <w:t>MBPQ-02-08-01</w:t>
            </w:r>
          </w:p>
          <w:p>
            <w:pPr>
              <w:keepNext w:val="0"/>
              <w:keepLines w:val="0"/>
              <w:pageBreakBefore w:val="0"/>
              <w:widowControl/>
              <w:suppressLineNumbers w:val="0"/>
              <w:kinsoku/>
              <w:wordWrap/>
              <w:overflowPunct/>
              <w:topLinePunct w:val="0"/>
              <w:bidi w:val="0"/>
              <w:spacing w:line="440" w:lineRule="exact"/>
              <w:jc w:val="left"/>
              <w:textAlignment w:val="center"/>
              <w:rPr>
                <w:rFonts w:ascii="仿宋_GB2312" w:hAnsi="宋体" w:eastAsia="仿宋_GB2312" w:cs="仿宋_GB2312"/>
                <w:b w:val="0"/>
                <w:bCs w:val="0"/>
                <w:color w:val="auto"/>
                <w:sz w:val="24"/>
                <w:szCs w:val="24"/>
                <w:highlight w:val="none"/>
              </w:rPr>
            </w:pPr>
          </w:p>
        </w:tc>
        <w:tc>
          <w:tcPr>
            <w:tcW w:w="437" w:type="dxa"/>
            <w:tcMar>
              <w:left w:w="0" w:type="dxa"/>
              <w:right w:w="0" w:type="dxa"/>
            </w:tcMar>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旅馆用地</w:t>
            </w:r>
          </w:p>
        </w:tc>
        <w:tc>
          <w:tcPr>
            <w:tcW w:w="892"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0.687546</w:t>
            </w:r>
          </w:p>
        </w:tc>
        <w:tc>
          <w:tcPr>
            <w:tcW w:w="826"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0.687546</w:t>
            </w:r>
          </w:p>
        </w:tc>
        <w:tc>
          <w:tcPr>
            <w:tcW w:w="787"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≤40%</w:t>
            </w:r>
          </w:p>
        </w:tc>
        <w:tc>
          <w:tcPr>
            <w:tcW w:w="733"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≤1.0</w:t>
            </w:r>
          </w:p>
        </w:tc>
        <w:tc>
          <w:tcPr>
            <w:tcW w:w="767"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≤6875.46㎡</w:t>
            </w:r>
          </w:p>
        </w:tc>
        <w:tc>
          <w:tcPr>
            <w:tcW w:w="902"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_GB2312" w:hAnsi="宋体" w:eastAsia="仿宋_GB2312" w:cs="仿宋_GB2312"/>
                <w:b w:val="0"/>
                <w:bCs w:val="0"/>
                <w:color w:val="auto"/>
                <w:kern w:val="2"/>
                <w:sz w:val="24"/>
                <w:szCs w:val="24"/>
                <w:highlight w:val="none"/>
                <w:lang w:val="en-US" w:eastAsia="zh-CN" w:bidi="ar-SA"/>
              </w:rPr>
            </w:pPr>
            <w:r>
              <w:rPr>
                <w:rFonts w:hint="eastAsia" w:ascii="仿宋_GB2312" w:hAnsi="宋体" w:eastAsia="仿宋_GB2312" w:cs="仿宋_GB2312"/>
                <w:b w:val="0"/>
                <w:bCs w:val="0"/>
                <w:color w:val="auto"/>
                <w:sz w:val="24"/>
                <w:szCs w:val="24"/>
                <w:highlight w:val="none"/>
                <w:lang w:val="en-US" w:eastAsia="zh-CN"/>
              </w:rPr>
              <w:t>≥25</w:t>
            </w:r>
          </w:p>
        </w:tc>
        <w:tc>
          <w:tcPr>
            <w:tcW w:w="75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≤45</w:t>
            </w:r>
          </w:p>
        </w:tc>
        <w:tc>
          <w:tcPr>
            <w:tcW w:w="1704"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仿宋_GB2312" w:hAnsi="宋体" w:eastAsia="仿宋_GB2312" w:cs="仿宋_GB2312"/>
                <w:b w:val="0"/>
                <w:bCs w:val="0"/>
                <w:color w:val="auto"/>
                <w:sz w:val="24"/>
                <w:szCs w:val="24"/>
                <w:highlight w:val="none"/>
                <w:lang w:val="en-US" w:eastAsia="zh-CN"/>
              </w:rPr>
              <w:t>每100㎡计容积率建筑面积≥1.0个</w:t>
            </w:r>
          </w:p>
        </w:tc>
        <w:tc>
          <w:tcPr>
            <w:tcW w:w="1569"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750" w:type="dxa"/>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40</w:t>
            </w:r>
          </w:p>
        </w:tc>
      </w:tr>
    </w:tbl>
    <w:p>
      <w:pPr>
        <w:keepNext w:val="0"/>
        <w:keepLines w:val="0"/>
        <w:pageBreakBefore w:val="0"/>
        <w:kinsoku/>
        <w:wordWrap/>
        <w:overflowPunct/>
        <w:topLinePunct w:val="0"/>
        <w:bidi w:val="0"/>
        <w:spacing w:line="440" w:lineRule="exact"/>
        <w:rPr>
          <w:rFonts w:hint="eastAsia" w:ascii="华文中宋" w:hAnsi="华文中宋" w:eastAsia="华文中宋" w:cs="华文中宋"/>
          <w:color w:val="auto"/>
          <w:sz w:val="30"/>
          <w:szCs w:val="30"/>
        </w:rPr>
      </w:pPr>
    </w:p>
    <w:p>
      <w:pPr>
        <w:pStyle w:val="2"/>
        <w:keepNext w:val="0"/>
        <w:keepLines w:val="0"/>
        <w:pageBreakBefore w:val="0"/>
        <w:kinsoku/>
        <w:wordWrap/>
        <w:overflowPunct/>
        <w:topLinePunct w:val="0"/>
        <w:autoSpaceDN/>
        <w:bidi w:val="0"/>
        <w:adjustRightInd/>
        <w:spacing w:line="440" w:lineRule="exact"/>
        <w:ind w:left="0" w:leftChars="0" w:firstLine="0" w:firstLineChars="0"/>
        <w:textAlignment w:val="auto"/>
        <w:rPr>
          <w:rFonts w:hint="eastAsia" w:ascii="仿宋" w:hAnsi="仿宋" w:eastAsia="仿宋" w:cs="仿宋"/>
          <w:b w:val="0"/>
          <w:bCs w:val="0"/>
          <w:color w:val="auto"/>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D82C"/>
    <w:multiLevelType w:val="singleLevel"/>
    <w:tmpl w:val="8B5BD82C"/>
    <w:lvl w:ilvl="0" w:tentative="0">
      <w:start w:val="1"/>
      <w:numFmt w:val="chineseCounting"/>
      <w:suff w:val="nothing"/>
      <w:lvlText w:val="（%1）"/>
      <w:lvlJc w:val="left"/>
      <w:pPr>
        <w:ind w:left="-45"/>
      </w:pPr>
      <w:rPr>
        <w:rFonts w:hint="eastAsia"/>
      </w:rPr>
    </w:lvl>
  </w:abstractNum>
  <w:abstractNum w:abstractNumId="1">
    <w:nsid w:val="A6218609"/>
    <w:multiLevelType w:val="singleLevel"/>
    <w:tmpl w:val="A6218609"/>
    <w:lvl w:ilvl="0" w:tentative="0">
      <w:start w:val="1"/>
      <w:numFmt w:val="chineseCounting"/>
      <w:suff w:val="nothing"/>
      <w:lvlText w:val="（%1）"/>
      <w:lvlJc w:val="left"/>
      <w:rPr>
        <w:rFonts w:hint="eastAsia"/>
      </w:rPr>
    </w:lvl>
  </w:abstractNum>
  <w:abstractNum w:abstractNumId="2">
    <w:nsid w:val="0904E1E0"/>
    <w:multiLevelType w:val="singleLevel"/>
    <w:tmpl w:val="0904E1E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YWJiMGZlNTA2N2E2N2RiYzhkNmI0OTI5OTYwMjEifQ=="/>
  </w:docVars>
  <w:rsids>
    <w:rsidRoot w:val="006F43B4"/>
    <w:rsid w:val="00055381"/>
    <w:rsid w:val="00156890"/>
    <w:rsid w:val="00291F43"/>
    <w:rsid w:val="003846E2"/>
    <w:rsid w:val="003D7B27"/>
    <w:rsid w:val="00502E7E"/>
    <w:rsid w:val="00593588"/>
    <w:rsid w:val="00626965"/>
    <w:rsid w:val="00651A33"/>
    <w:rsid w:val="006F43B4"/>
    <w:rsid w:val="00723053"/>
    <w:rsid w:val="008D4A14"/>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12F32FC"/>
    <w:rsid w:val="01E50B50"/>
    <w:rsid w:val="039F6E44"/>
    <w:rsid w:val="04AA17FE"/>
    <w:rsid w:val="067362EB"/>
    <w:rsid w:val="09402008"/>
    <w:rsid w:val="0AE876EE"/>
    <w:rsid w:val="0DD737A7"/>
    <w:rsid w:val="0E1D2DC4"/>
    <w:rsid w:val="0E2071F3"/>
    <w:rsid w:val="0E2C2AB5"/>
    <w:rsid w:val="101713C8"/>
    <w:rsid w:val="102713DB"/>
    <w:rsid w:val="110903F6"/>
    <w:rsid w:val="11871C18"/>
    <w:rsid w:val="12D666E0"/>
    <w:rsid w:val="13055F11"/>
    <w:rsid w:val="13DC2CB8"/>
    <w:rsid w:val="166F2BF1"/>
    <w:rsid w:val="1794192C"/>
    <w:rsid w:val="17EA1735"/>
    <w:rsid w:val="187E669C"/>
    <w:rsid w:val="188B2794"/>
    <w:rsid w:val="19C257C0"/>
    <w:rsid w:val="1A31098E"/>
    <w:rsid w:val="1B261919"/>
    <w:rsid w:val="1B2A00D1"/>
    <w:rsid w:val="1B3B78EC"/>
    <w:rsid w:val="1BE73F47"/>
    <w:rsid w:val="1C9A1178"/>
    <w:rsid w:val="1D097D20"/>
    <w:rsid w:val="1E904230"/>
    <w:rsid w:val="1FB504FE"/>
    <w:rsid w:val="1FFA383F"/>
    <w:rsid w:val="222A162B"/>
    <w:rsid w:val="224E20DB"/>
    <w:rsid w:val="22937891"/>
    <w:rsid w:val="24610AB5"/>
    <w:rsid w:val="250733D2"/>
    <w:rsid w:val="27BC0E8D"/>
    <w:rsid w:val="285B64DE"/>
    <w:rsid w:val="29C55868"/>
    <w:rsid w:val="29E1316E"/>
    <w:rsid w:val="29F80FE7"/>
    <w:rsid w:val="2B773392"/>
    <w:rsid w:val="2CC9567C"/>
    <w:rsid w:val="2CD27F6C"/>
    <w:rsid w:val="2D930E3D"/>
    <w:rsid w:val="2F220213"/>
    <w:rsid w:val="2F442A87"/>
    <w:rsid w:val="2F841177"/>
    <w:rsid w:val="30134210"/>
    <w:rsid w:val="31575D41"/>
    <w:rsid w:val="31D86DCF"/>
    <w:rsid w:val="34013B56"/>
    <w:rsid w:val="355D5FD5"/>
    <w:rsid w:val="36B610CD"/>
    <w:rsid w:val="37723635"/>
    <w:rsid w:val="38FE4822"/>
    <w:rsid w:val="3A2953C0"/>
    <w:rsid w:val="3A5C1E5A"/>
    <w:rsid w:val="3B34068A"/>
    <w:rsid w:val="3B694D14"/>
    <w:rsid w:val="3B9610F4"/>
    <w:rsid w:val="3BB71C2D"/>
    <w:rsid w:val="3BD038FF"/>
    <w:rsid w:val="3BD61A36"/>
    <w:rsid w:val="3D152C6B"/>
    <w:rsid w:val="3EA37E97"/>
    <w:rsid w:val="3EB968CD"/>
    <w:rsid w:val="3EC318D5"/>
    <w:rsid w:val="3EC82FB3"/>
    <w:rsid w:val="3F142B57"/>
    <w:rsid w:val="3F1A7FAA"/>
    <w:rsid w:val="3F3E0AB4"/>
    <w:rsid w:val="3F984213"/>
    <w:rsid w:val="3F9F1F66"/>
    <w:rsid w:val="402B776A"/>
    <w:rsid w:val="420A51B3"/>
    <w:rsid w:val="428E2D29"/>
    <w:rsid w:val="43A8623E"/>
    <w:rsid w:val="43D3409E"/>
    <w:rsid w:val="44A86E9A"/>
    <w:rsid w:val="45696BDB"/>
    <w:rsid w:val="465B0945"/>
    <w:rsid w:val="48526CD7"/>
    <w:rsid w:val="486B4F45"/>
    <w:rsid w:val="48AD19E8"/>
    <w:rsid w:val="49956A4F"/>
    <w:rsid w:val="49B303BC"/>
    <w:rsid w:val="4A730934"/>
    <w:rsid w:val="4C3E0A00"/>
    <w:rsid w:val="4CA65793"/>
    <w:rsid w:val="4D0F3BE0"/>
    <w:rsid w:val="4D8A139E"/>
    <w:rsid w:val="4F42590E"/>
    <w:rsid w:val="4F7A44ED"/>
    <w:rsid w:val="4F9358A7"/>
    <w:rsid w:val="4FB870F0"/>
    <w:rsid w:val="5004570C"/>
    <w:rsid w:val="508C5CA4"/>
    <w:rsid w:val="50C44115"/>
    <w:rsid w:val="50C65541"/>
    <w:rsid w:val="50C67C69"/>
    <w:rsid w:val="52146C75"/>
    <w:rsid w:val="523F6E00"/>
    <w:rsid w:val="52EC3EDC"/>
    <w:rsid w:val="5316652D"/>
    <w:rsid w:val="53BD4A78"/>
    <w:rsid w:val="54A67235"/>
    <w:rsid w:val="55C0458D"/>
    <w:rsid w:val="58D008AE"/>
    <w:rsid w:val="59B92E76"/>
    <w:rsid w:val="5B745643"/>
    <w:rsid w:val="5C8578BA"/>
    <w:rsid w:val="5CD9542F"/>
    <w:rsid w:val="5EB43F13"/>
    <w:rsid w:val="5F28567D"/>
    <w:rsid w:val="5F300F59"/>
    <w:rsid w:val="5FCF5D35"/>
    <w:rsid w:val="616B0C9C"/>
    <w:rsid w:val="62844F25"/>
    <w:rsid w:val="635A435F"/>
    <w:rsid w:val="6838006B"/>
    <w:rsid w:val="683F3018"/>
    <w:rsid w:val="684568B6"/>
    <w:rsid w:val="68BD0B09"/>
    <w:rsid w:val="68CD7763"/>
    <w:rsid w:val="6A4F4329"/>
    <w:rsid w:val="6AF12B3E"/>
    <w:rsid w:val="6C826573"/>
    <w:rsid w:val="6C8919B8"/>
    <w:rsid w:val="6CE76051"/>
    <w:rsid w:val="6E914841"/>
    <w:rsid w:val="6EB1052D"/>
    <w:rsid w:val="71576811"/>
    <w:rsid w:val="71B67D83"/>
    <w:rsid w:val="71CF0BED"/>
    <w:rsid w:val="71D66846"/>
    <w:rsid w:val="723C3332"/>
    <w:rsid w:val="726873F0"/>
    <w:rsid w:val="729D59B3"/>
    <w:rsid w:val="731759FD"/>
    <w:rsid w:val="734164C7"/>
    <w:rsid w:val="746E7275"/>
    <w:rsid w:val="751A7E63"/>
    <w:rsid w:val="76AC6A44"/>
    <w:rsid w:val="77852CA3"/>
    <w:rsid w:val="778B6418"/>
    <w:rsid w:val="779A0D22"/>
    <w:rsid w:val="79D044EF"/>
    <w:rsid w:val="7A436452"/>
    <w:rsid w:val="7A6A3136"/>
    <w:rsid w:val="7AFD1570"/>
    <w:rsid w:val="7B6E62FB"/>
    <w:rsid w:val="7BB44569"/>
    <w:rsid w:val="7CFD5584"/>
    <w:rsid w:val="7D810E5F"/>
    <w:rsid w:val="7D84768B"/>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Body Text Indent 2"/>
    <w:basedOn w:val="1"/>
    <w:qFormat/>
    <w:uiPriority w:val="0"/>
    <w:pPr>
      <w:spacing w:after="120" w:line="480" w:lineRule="auto"/>
      <w:ind w:left="420" w:left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character" w:styleId="10">
    <w:name w:val="page number"/>
    <w:basedOn w:val="9"/>
    <w:qFormat/>
    <w:uiPriority w:val="0"/>
  </w:style>
  <w:style w:type="paragraph" w:customStyle="1" w:styleId="11">
    <w:name w:val="1"/>
    <w:basedOn w:val="1"/>
    <w:next w:val="4"/>
    <w:qFormat/>
    <w:uiPriority w:val="0"/>
    <w:pPr>
      <w:widowControl/>
      <w:spacing w:line="360" w:lineRule="auto"/>
      <w:ind w:firstLine="600"/>
      <w:jc w:val="left"/>
    </w:pPr>
    <w:rPr>
      <w:rFonts w:ascii="宋体" w:hAnsi="宋体" w:eastAsia="仿宋_GB2312"/>
      <w:kern w:val="0"/>
      <w:sz w:val="30"/>
    </w:rPr>
  </w:style>
  <w:style w:type="paragraph" w:customStyle="1" w:styleId="12">
    <w:name w:val="批注文字 New New"/>
    <w:basedOn w:val="1"/>
    <w:qFormat/>
    <w:uiPriority w:val="0"/>
    <w:pPr>
      <w:jc w:val="left"/>
    </w:pPr>
    <w:rPr>
      <w:szCs w:val="20"/>
    </w:rPr>
  </w:style>
  <w:style w:type="character" w:customStyle="1" w:styleId="13">
    <w:name w:val="页眉 Char"/>
    <w:basedOn w:val="9"/>
    <w:link w:val="6"/>
    <w:semiHidden/>
    <w:qFormat/>
    <w:uiPriority w:val="99"/>
    <w:rPr>
      <w:rFonts w:ascii="Times New Roman" w:hAnsi="Times New Roman" w:eastAsia="宋体" w:cs="Times New Roman"/>
      <w:sz w:val="18"/>
      <w:szCs w:val="18"/>
    </w:rPr>
  </w:style>
  <w:style w:type="character" w:customStyle="1" w:styleId="14">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4074</Words>
  <Characters>4573</Characters>
  <Lines>27</Lines>
  <Paragraphs>7</Paragraphs>
  <TotalTime>72</TotalTime>
  <ScaleCrop>false</ScaleCrop>
  <LinksUpToDate>false</LinksUpToDate>
  <CharactersWithSpaces>4632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Administrator</cp:lastModifiedBy>
  <cp:lastPrinted>2022-10-09T06:15:00Z</cp:lastPrinted>
  <dcterms:modified xsi:type="dcterms:W3CDTF">2022-10-11T03:04:59Z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088781AE28634640BF150A71F42DF07D</vt:lpwstr>
  </property>
</Properties>
</file>