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color w:val="000000"/>
        </w:rPr>
      </w:pPr>
      <w:r>
        <w:rPr>
          <w:rFonts w:hint="eastAsia"/>
          <w:color w:val="000000"/>
        </w:rPr>
        <w:t>项目投资监管协议</w:t>
      </w:r>
    </w:p>
    <w:p>
      <w:pPr>
        <w:ind w:firstLine="560"/>
        <w:rPr>
          <w:color w:val="000000"/>
        </w:rPr>
      </w:pPr>
      <w:r>
        <w:rPr>
          <w:rFonts w:hint="eastAsia"/>
          <w:color w:val="000000"/>
        </w:rPr>
        <w:t>甲方：</w:t>
      </w:r>
      <w:r>
        <w:rPr>
          <w:rFonts w:hint="eastAsia"/>
          <w:color w:val="000000"/>
          <w:lang w:eastAsia="zh-CN"/>
        </w:rPr>
        <w:t>惠东县稔山</w:t>
      </w:r>
      <w:r>
        <w:rPr>
          <w:rFonts w:hint="eastAsia"/>
          <w:color w:val="000000"/>
        </w:rPr>
        <w:t>镇人民政府</w:t>
      </w:r>
    </w:p>
    <w:p>
      <w:pPr>
        <w:ind w:firstLine="560"/>
        <w:rPr>
          <w:color w:val="000000"/>
        </w:rPr>
      </w:pPr>
      <w:r>
        <w:rPr>
          <w:rFonts w:hint="eastAsia"/>
          <w:color w:val="000000"/>
        </w:rPr>
        <w:t>地址：广东省惠州市惠东县</w:t>
      </w:r>
      <w:r>
        <w:rPr>
          <w:rFonts w:hint="eastAsia"/>
          <w:color w:val="000000"/>
          <w:lang w:eastAsia="zh-CN"/>
        </w:rPr>
        <w:t>稔山</w:t>
      </w:r>
      <w:r>
        <w:rPr>
          <w:rFonts w:hint="eastAsia"/>
          <w:color w:val="000000"/>
        </w:rPr>
        <w:t>镇</w:t>
      </w:r>
    </w:p>
    <w:p>
      <w:pPr>
        <w:ind w:firstLine="560"/>
        <w:rPr>
          <w:color w:val="000000"/>
        </w:rPr>
      </w:pPr>
    </w:p>
    <w:p>
      <w:pPr>
        <w:ind w:firstLine="560"/>
        <w:rPr>
          <w:rFonts w:hint="default" w:eastAsia="宋体"/>
          <w:color w:val="000000"/>
          <w:highlight w:val="none"/>
          <w:lang w:val="en-US" w:eastAsia="zh-CN"/>
        </w:rPr>
      </w:pPr>
      <w:r>
        <w:rPr>
          <w:rFonts w:hint="eastAsia"/>
          <w:color w:val="000000"/>
          <w:highlight w:val="none"/>
        </w:rPr>
        <w:t>乙方：</w:t>
      </w:r>
      <w:r>
        <w:rPr>
          <w:rFonts w:hint="eastAsia"/>
          <w:color w:val="000000"/>
          <w:highlight w:val="none"/>
          <w:lang w:val="en-US" w:eastAsia="zh-CN"/>
        </w:rPr>
        <w:t xml:space="preserve">    </w:t>
      </w:r>
    </w:p>
    <w:p>
      <w:pPr>
        <w:ind w:firstLine="560"/>
        <w:rPr>
          <w:rFonts w:hint="default" w:eastAsia="宋体"/>
          <w:color w:val="000000"/>
          <w:highlight w:val="none"/>
          <w:lang w:val="en-US" w:eastAsia="zh-CN"/>
        </w:rPr>
      </w:pPr>
      <w:r>
        <w:rPr>
          <w:rFonts w:hint="eastAsia"/>
          <w:color w:val="000000"/>
          <w:highlight w:val="none"/>
        </w:rPr>
        <w:t>统一社会信用代码：</w:t>
      </w:r>
      <w:r>
        <w:rPr>
          <w:rFonts w:hint="eastAsia"/>
          <w:color w:val="000000"/>
          <w:highlight w:val="none"/>
          <w:lang w:val="en-US" w:eastAsia="zh-CN"/>
        </w:rPr>
        <w:t xml:space="preserve">       </w:t>
      </w:r>
    </w:p>
    <w:p>
      <w:pPr>
        <w:ind w:firstLine="560"/>
        <w:rPr>
          <w:rFonts w:hint="default" w:eastAsia="宋体"/>
          <w:color w:val="000000"/>
          <w:highlight w:val="none"/>
          <w:lang w:val="en-US" w:eastAsia="zh-CN"/>
        </w:rPr>
      </w:pPr>
      <w:r>
        <w:rPr>
          <w:rFonts w:hint="eastAsia"/>
          <w:color w:val="000000"/>
          <w:highlight w:val="none"/>
        </w:rPr>
        <w:t>地址：</w:t>
      </w:r>
      <w:r>
        <w:rPr>
          <w:rFonts w:hint="eastAsia"/>
          <w:color w:val="000000"/>
          <w:highlight w:val="none"/>
          <w:lang w:val="en-US" w:eastAsia="zh-CN"/>
        </w:rPr>
        <w:t xml:space="preserve">    </w:t>
      </w:r>
    </w:p>
    <w:p>
      <w:pPr>
        <w:ind w:firstLine="560"/>
        <w:rPr>
          <w:rFonts w:hint="default" w:eastAsia="宋体"/>
          <w:color w:val="000000"/>
          <w:highlight w:val="none"/>
          <w:lang w:val="en-US" w:eastAsia="zh-CN"/>
        </w:rPr>
      </w:pPr>
      <w:r>
        <w:rPr>
          <w:rFonts w:hint="eastAsia"/>
          <w:color w:val="000000"/>
          <w:highlight w:val="none"/>
        </w:rPr>
        <w:t>法定代表人：</w:t>
      </w:r>
      <w:r>
        <w:rPr>
          <w:rFonts w:hint="eastAsia"/>
          <w:color w:val="000000"/>
          <w:highlight w:val="none"/>
          <w:lang w:val="en-US" w:eastAsia="zh-CN"/>
        </w:rPr>
        <w:t xml:space="preserve">    </w:t>
      </w:r>
    </w:p>
    <w:p>
      <w:pPr>
        <w:ind w:firstLine="560"/>
        <w:rPr>
          <w:color w:val="000000"/>
        </w:rPr>
      </w:pPr>
      <w:r>
        <w:rPr>
          <w:rFonts w:hint="eastAsia"/>
          <w:color w:val="000000"/>
        </w:rPr>
        <w:t>根据国家和地方有关法律法规，甲乙双方本着平等、自愿、诚信、互利的原则，经友好协商，就乙方在惠东县设立独立的企业法人（以下简称“项目公司”）投资建设运营项目事宜，达成共识，形成协议如下：</w:t>
      </w:r>
    </w:p>
    <w:p>
      <w:pPr>
        <w:pStyle w:val="2"/>
        <w:ind w:firstLine="562"/>
        <w:rPr>
          <w:color w:val="000000"/>
        </w:rPr>
      </w:pPr>
      <w:r>
        <w:rPr>
          <w:rFonts w:hint="eastAsia"/>
          <w:color w:val="000000"/>
        </w:rPr>
        <w:t>总则</w:t>
      </w:r>
    </w:p>
    <w:p>
      <w:pPr>
        <w:pStyle w:val="16"/>
        <w:numPr>
          <w:ilvl w:val="0"/>
          <w:numId w:val="2"/>
        </w:numPr>
        <w:ind w:left="0" w:firstLine="560"/>
        <w:rPr>
          <w:rFonts w:ascii="宋体" w:hAnsi="宋体"/>
          <w:color w:val="000000"/>
        </w:rPr>
      </w:pPr>
      <w:r>
        <w:rPr>
          <w:rFonts w:hint="eastAsia" w:ascii="宋体" w:hAnsi="宋体"/>
          <w:color w:val="000000"/>
        </w:rPr>
        <w:t>标的项目及标的地块信息</w:t>
      </w:r>
    </w:p>
    <w:p>
      <w:pPr>
        <w:pStyle w:val="16"/>
        <w:numPr>
          <w:ilvl w:val="0"/>
          <w:numId w:val="3"/>
        </w:numPr>
        <w:ind w:firstLineChars="0"/>
        <w:rPr>
          <w:color w:val="000000"/>
        </w:rPr>
      </w:pPr>
      <w:r>
        <w:rPr>
          <w:rFonts w:hint="eastAsia"/>
          <w:color w:val="000000"/>
        </w:rPr>
        <w:t>宗地位置：惠东县</w:t>
      </w:r>
      <w:r>
        <w:rPr>
          <w:rFonts w:hint="eastAsia"/>
          <w:color w:val="000000"/>
          <w:lang w:eastAsia="zh-CN"/>
        </w:rPr>
        <w:t>稔山</w:t>
      </w:r>
      <w:r>
        <w:rPr>
          <w:rFonts w:hint="eastAsia"/>
          <w:color w:val="000000"/>
        </w:rPr>
        <w:t>镇</w:t>
      </w:r>
      <w:r>
        <w:rPr>
          <w:rFonts w:hint="eastAsia"/>
          <w:color w:val="000000"/>
          <w:lang w:eastAsia="zh-CN"/>
        </w:rPr>
        <w:t>牛牯墩村大理顶</w:t>
      </w:r>
    </w:p>
    <w:p>
      <w:pPr>
        <w:pStyle w:val="16"/>
        <w:numPr>
          <w:ilvl w:val="0"/>
          <w:numId w:val="3"/>
        </w:numPr>
        <w:ind w:firstLineChars="0"/>
        <w:rPr>
          <w:color w:val="000000"/>
        </w:rPr>
      </w:pPr>
      <w:r>
        <w:rPr>
          <w:rFonts w:hint="eastAsia"/>
          <w:color w:val="000000"/>
        </w:rPr>
        <w:t>土地用途：工业</w:t>
      </w:r>
    </w:p>
    <w:p>
      <w:pPr>
        <w:pStyle w:val="16"/>
        <w:numPr>
          <w:ilvl w:val="0"/>
          <w:numId w:val="3"/>
        </w:numPr>
        <w:ind w:firstLineChars="0"/>
        <w:rPr>
          <w:color w:val="000000"/>
        </w:rPr>
      </w:pPr>
      <w:r>
        <w:rPr>
          <w:rFonts w:hint="eastAsia"/>
          <w:color w:val="000000"/>
        </w:rPr>
        <w:t>产业目录：</w:t>
      </w:r>
    </w:p>
    <w:p>
      <w:pPr>
        <w:pStyle w:val="16"/>
        <w:numPr>
          <w:ilvl w:val="0"/>
          <w:numId w:val="3"/>
        </w:numPr>
        <w:ind w:firstLineChars="0"/>
        <w:rPr>
          <w:color w:val="000000"/>
        </w:rPr>
      </w:pPr>
      <w:r>
        <w:rPr>
          <w:rFonts w:hint="eastAsia"/>
          <w:color w:val="000000"/>
        </w:rPr>
        <w:t>总用地面积：</w:t>
      </w:r>
      <w:r>
        <w:rPr>
          <w:rFonts w:hint="eastAsia"/>
          <w:color w:val="000000"/>
          <w:lang w:val="en-US" w:eastAsia="zh-CN"/>
        </w:rPr>
        <w:t>35352.36</w:t>
      </w:r>
      <w:r>
        <w:rPr>
          <w:rFonts w:hint="eastAsia"/>
          <w:color w:val="000000"/>
        </w:rPr>
        <w:t>平方米</w:t>
      </w:r>
    </w:p>
    <w:p>
      <w:pPr>
        <w:pStyle w:val="16"/>
        <w:numPr>
          <w:ilvl w:val="0"/>
          <w:numId w:val="3"/>
        </w:numPr>
        <w:ind w:firstLineChars="0"/>
        <w:rPr>
          <w:color w:val="000000"/>
        </w:rPr>
      </w:pPr>
      <w:r>
        <w:rPr>
          <w:rFonts w:hint="eastAsia"/>
          <w:color w:val="000000"/>
        </w:rPr>
        <w:t>总建筑面积：</w:t>
      </w:r>
      <w:r>
        <w:rPr>
          <w:rFonts w:hint="eastAsia"/>
          <w:color w:val="000000"/>
          <w:lang w:val="en-US" w:eastAsia="zh-CN"/>
        </w:rPr>
        <w:t>49493.3</w:t>
      </w:r>
      <w:r>
        <w:rPr>
          <w:rFonts w:hint="eastAsia"/>
          <w:color w:val="000000"/>
        </w:rPr>
        <w:t>平方米</w:t>
      </w:r>
    </w:p>
    <w:p>
      <w:pPr>
        <w:pStyle w:val="16"/>
        <w:numPr>
          <w:ilvl w:val="0"/>
          <w:numId w:val="3"/>
        </w:numPr>
        <w:ind w:firstLineChars="0"/>
        <w:rPr>
          <w:color w:val="000000"/>
        </w:rPr>
      </w:pPr>
      <w:r>
        <w:rPr>
          <w:rFonts w:hint="eastAsia"/>
          <w:color w:val="000000"/>
        </w:rPr>
        <w:t>项目投资估算：</w:t>
      </w:r>
      <w:r>
        <w:rPr>
          <w:rFonts w:hint="eastAsia"/>
          <w:color w:val="000000"/>
          <w:lang w:val="en-US" w:eastAsia="zh-CN"/>
        </w:rPr>
        <w:t>17676</w:t>
      </w:r>
      <w:r>
        <w:rPr>
          <w:rFonts w:hint="eastAsia"/>
          <w:color w:val="000000"/>
        </w:rPr>
        <w:t>万元</w:t>
      </w:r>
    </w:p>
    <w:p>
      <w:pPr>
        <w:ind w:firstLine="560"/>
        <w:rPr>
          <w:color w:val="000000"/>
        </w:rPr>
      </w:pPr>
      <w:r>
        <w:rPr>
          <w:rFonts w:hint="eastAsia"/>
          <w:color w:val="000000"/>
        </w:rPr>
        <w:t>本协议所称</w:t>
      </w:r>
      <w:bookmarkStart w:id="0" w:name="_Hlk37701701"/>
      <w:r>
        <w:rPr>
          <w:rFonts w:hint="eastAsia" w:ascii="宋体" w:hAnsi="宋体"/>
          <w:color w:val="000000"/>
        </w:rPr>
        <w:t>标的项目</w:t>
      </w:r>
      <w:bookmarkEnd w:id="0"/>
      <w:r>
        <w:rPr>
          <w:rFonts w:hint="eastAsia"/>
          <w:color w:val="000000"/>
        </w:rPr>
        <w:t>系指乙方在本协议约定的</w:t>
      </w:r>
      <w:bookmarkStart w:id="1" w:name="_Hlk37701601"/>
      <w:r>
        <w:rPr>
          <w:rFonts w:hint="eastAsia" w:ascii="宋体" w:hAnsi="宋体"/>
          <w:color w:val="000000"/>
        </w:rPr>
        <w:t>标的地块</w:t>
      </w:r>
      <w:bookmarkEnd w:id="1"/>
      <w:r>
        <w:rPr>
          <w:rFonts w:hint="eastAsia"/>
          <w:color w:val="000000"/>
        </w:rPr>
        <w:t>上投资建设的不动产。乙方或项目公司应当依据本协议的约定申报标的项目及标的地块的使用条件，最终以标的地块的登记信息及标的项目立项备案信息为准。</w:t>
      </w:r>
    </w:p>
    <w:p>
      <w:pPr>
        <w:pStyle w:val="16"/>
        <w:numPr>
          <w:ilvl w:val="0"/>
          <w:numId w:val="2"/>
        </w:numPr>
        <w:ind w:left="0" w:firstLine="560"/>
        <w:rPr>
          <w:rFonts w:ascii="宋体" w:hAnsi="宋体"/>
          <w:color w:val="000000"/>
        </w:rPr>
      </w:pPr>
      <w:r>
        <w:rPr>
          <w:rFonts w:hint="eastAsia" w:ascii="宋体" w:hAnsi="宋体"/>
          <w:color w:val="000000"/>
        </w:rPr>
        <w:t>乙方须于本协议签订之日起的30日内在惠东设立具备独立法人资格的</w:t>
      </w:r>
      <w:r>
        <w:rPr>
          <w:rFonts w:hint="eastAsia"/>
          <w:color w:val="000000"/>
        </w:rPr>
        <w:t>企业法人</w:t>
      </w:r>
      <w:r>
        <w:rPr>
          <w:rFonts w:hint="eastAsia" w:ascii="宋体" w:hAnsi="宋体"/>
          <w:color w:val="000000"/>
        </w:rPr>
        <w:t>作为履行本协议投资、建设、运营标的项目的项目公司</w:t>
      </w:r>
      <w:r>
        <w:rPr>
          <w:rFonts w:hint="eastAsia"/>
          <w:color w:val="000000"/>
        </w:rPr>
        <w:t>。</w:t>
      </w:r>
    </w:p>
    <w:p>
      <w:pPr>
        <w:pStyle w:val="16"/>
        <w:numPr>
          <w:ilvl w:val="0"/>
          <w:numId w:val="2"/>
        </w:numPr>
        <w:ind w:left="0" w:firstLine="560"/>
        <w:rPr>
          <w:rFonts w:ascii="宋体" w:hAnsi="宋体"/>
          <w:color w:val="000000"/>
        </w:rPr>
      </w:pPr>
      <w:r>
        <w:rPr>
          <w:rFonts w:hint="eastAsia" w:ascii="宋体" w:hAnsi="宋体"/>
          <w:color w:val="000000"/>
        </w:rPr>
        <w:t>项目公司承诺按以下条件申报</w:t>
      </w:r>
      <w:r>
        <w:rPr>
          <w:rFonts w:hint="eastAsia"/>
          <w:color w:val="000000"/>
        </w:rPr>
        <w:t>标的</w:t>
      </w:r>
      <w:r>
        <w:rPr>
          <w:rFonts w:hint="eastAsia" w:ascii="宋体" w:hAnsi="宋体"/>
          <w:color w:val="000000"/>
        </w:rPr>
        <w:t>项目的规划审批或者建设方案，最终以</w:t>
      </w:r>
      <w:r>
        <w:rPr>
          <w:rFonts w:hint="eastAsia"/>
          <w:color w:val="000000"/>
        </w:rPr>
        <w:t>标的</w:t>
      </w:r>
      <w:r>
        <w:rPr>
          <w:rFonts w:hint="eastAsia" w:ascii="宋体" w:hAnsi="宋体"/>
          <w:color w:val="000000"/>
        </w:rPr>
        <w:t>项目所在地政府职能部门审批通过的建设用地规划许可证、建设工程规划许可证等为准：</w:t>
      </w:r>
    </w:p>
    <w:p>
      <w:pPr>
        <w:pStyle w:val="16"/>
        <w:numPr>
          <w:ilvl w:val="0"/>
          <w:numId w:val="4"/>
        </w:numPr>
        <w:ind w:left="0" w:firstLine="560"/>
        <w:rPr>
          <w:color w:val="000000"/>
        </w:rPr>
      </w:pPr>
      <w:r>
        <w:rPr>
          <w:rFonts w:hint="eastAsia"/>
          <w:color w:val="000000"/>
        </w:rPr>
        <w:t>投资总额不低于</w:t>
      </w:r>
      <w:r>
        <w:rPr>
          <w:rFonts w:hint="eastAsia"/>
          <w:color w:val="000000"/>
          <w:lang w:val="en-US" w:eastAsia="zh-CN"/>
        </w:rPr>
        <w:t>17676</w:t>
      </w:r>
      <w:r>
        <w:rPr>
          <w:rFonts w:hint="eastAsia"/>
          <w:color w:val="000000"/>
        </w:rPr>
        <w:t>万元；</w:t>
      </w:r>
    </w:p>
    <w:p>
      <w:pPr>
        <w:pStyle w:val="16"/>
        <w:numPr>
          <w:ilvl w:val="0"/>
          <w:numId w:val="4"/>
        </w:numPr>
        <w:ind w:left="0" w:firstLine="560"/>
        <w:rPr>
          <w:color w:val="000000"/>
        </w:rPr>
      </w:pPr>
      <w:r>
        <w:rPr>
          <w:rFonts w:hint="eastAsia"/>
          <w:color w:val="000000"/>
        </w:rPr>
        <w:t>固定资产投资强度不低于</w:t>
      </w:r>
      <w:r>
        <w:rPr>
          <w:rFonts w:hint="eastAsia"/>
          <w:color w:val="000000"/>
          <w:lang w:val="en-US" w:eastAsia="zh-CN"/>
        </w:rPr>
        <w:t>5000</w:t>
      </w:r>
      <w:r>
        <w:rPr>
          <w:rFonts w:hint="eastAsia"/>
          <w:color w:val="000000"/>
        </w:rPr>
        <w:t>元</w:t>
      </w:r>
      <w:r>
        <w:rPr>
          <w:color w:val="000000"/>
        </w:rPr>
        <w:t>/</w:t>
      </w:r>
      <w:r>
        <w:rPr>
          <w:rFonts w:hint="eastAsia"/>
          <w:color w:val="000000"/>
        </w:rPr>
        <w:t>平方米。投资强度</w:t>
      </w:r>
      <w:r>
        <w:rPr>
          <w:color w:val="000000"/>
        </w:rPr>
        <w:t>=</w:t>
      </w:r>
      <w:r>
        <w:rPr>
          <w:rFonts w:hint="eastAsia"/>
          <w:color w:val="000000"/>
        </w:rPr>
        <w:t>固定资产总投资</w:t>
      </w:r>
      <w:r>
        <w:rPr>
          <w:color w:val="000000"/>
        </w:rPr>
        <w:t>/</w:t>
      </w:r>
      <w:r>
        <w:rPr>
          <w:rFonts w:hint="eastAsia"/>
          <w:color w:val="000000"/>
        </w:rPr>
        <w:t>标的土地面积，其中固定资产总投资包括厂房、设备和地价款等，厂房和设备投资额按照标的项目竣工验收进入正常生产时的厂房建造成本和设备购置成本计算，地价款按照土地出让合同约定成交金额计算；</w:t>
      </w:r>
    </w:p>
    <w:p>
      <w:pPr>
        <w:pStyle w:val="16"/>
        <w:numPr>
          <w:ilvl w:val="0"/>
          <w:numId w:val="4"/>
        </w:numPr>
        <w:ind w:left="0" w:firstLine="560"/>
        <w:rPr>
          <w:color w:val="000000"/>
        </w:rPr>
      </w:pPr>
      <w:r>
        <w:rPr>
          <w:rFonts w:hint="eastAsia"/>
          <w:color w:val="000000"/>
        </w:rPr>
        <w:t>总容积率不低于</w:t>
      </w:r>
      <w:r>
        <w:rPr>
          <w:rFonts w:hint="eastAsia"/>
          <w:color w:val="000000"/>
          <w:u w:val="single"/>
        </w:rPr>
        <w:t>1.4</w:t>
      </w:r>
      <w:r>
        <w:rPr>
          <w:rFonts w:hint="eastAsia"/>
          <w:color w:val="000000"/>
        </w:rPr>
        <w:t>；</w:t>
      </w:r>
    </w:p>
    <w:p>
      <w:pPr>
        <w:pStyle w:val="16"/>
        <w:numPr>
          <w:ilvl w:val="0"/>
          <w:numId w:val="4"/>
        </w:numPr>
        <w:ind w:left="0" w:firstLine="560"/>
        <w:rPr>
          <w:color w:val="000000"/>
        </w:rPr>
      </w:pPr>
      <w:r>
        <w:rPr>
          <w:rFonts w:hint="eastAsia"/>
          <w:color w:val="000000"/>
        </w:rPr>
        <w:t>建筑系数不低于</w:t>
      </w:r>
      <w:r>
        <w:rPr>
          <w:color w:val="000000"/>
        </w:rPr>
        <w:t>35%</w:t>
      </w:r>
      <w:r>
        <w:rPr>
          <w:rFonts w:hint="eastAsia"/>
          <w:color w:val="000000"/>
        </w:rPr>
        <w:t>，需要分期建设的，首期报建面积不得低于本协议第一条约定的总建筑面积的</w:t>
      </w:r>
      <w:r>
        <w:rPr>
          <w:color w:val="000000"/>
          <w:u w:val="single"/>
        </w:rPr>
        <w:t xml:space="preserve"> 70 </w:t>
      </w:r>
      <w:r>
        <w:rPr>
          <w:color w:val="000000"/>
        </w:rPr>
        <w:t>%</w:t>
      </w:r>
      <w:r>
        <w:rPr>
          <w:rFonts w:hint="eastAsia"/>
          <w:color w:val="000000"/>
        </w:rPr>
        <w:t>，行政办公及生活服务设施所需用地不超过标的土地的</w:t>
      </w:r>
      <w:r>
        <w:rPr>
          <w:color w:val="000000"/>
        </w:rPr>
        <w:t>7%</w:t>
      </w:r>
      <w:r>
        <w:rPr>
          <w:rFonts w:hint="eastAsia"/>
          <w:color w:val="000000"/>
        </w:rPr>
        <w:t>，因生产工艺等特殊要求需要一定比例绿地的，绿地比率不得超过标的土地的</w:t>
      </w:r>
      <w:r>
        <w:rPr>
          <w:color w:val="000000"/>
        </w:rPr>
        <w:t>20%</w:t>
      </w:r>
      <w:r>
        <w:rPr>
          <w:rFonts w:hint="eastAsia"/>
          <w:color w:val="000000"/>
        </w:rPr>
        <w:t>，生产性车间建筑面积不能低于第一条约定的总建筑面积的</w:t>
      </w:r>
      <w:r>
        <w:rPr>
          <w:color w:val="000000"/>
        </w:rPr>
        <w:t>70%</w:t>
      </w:r>
      <w:r>
        <w:rPr>
          <w:rFonts w:hint="eastAsia"/>
          <w:color w:val="000000"/>
        </w:rPr>
        <w:t>。</w:t>
      </w:r>
    </w:p>
    <w:p>
      <w:pPr>
        <w:pStyle w:val="16"/>
        <w:numPr>
          <w:ilvl w:val="0"/>
          <w:numId w:val="2"/>
        </w:numPr>
        <w:ind w:left="0" w:firstLine="560"/>
        <w:rPr>
          <w:rFonts w:ascii="宋体" w:hAnsi="宋体"/>
          <w:color w:val="000000"/>
        </w:rPr>
      </w:pPr>
      <w:r>
        <w:rPr>
          <w:rFonts w:hint="eastAsia" w:ascii="宋体" w:hAnsi="宋体"/>
          <w:color w:val="000000"/>
        </w:rPr>
        <w:t>标的项目竣工之日起第二个自然年，项目公司运营标的项目同时满足以下条件的即为达产：</w:t>
      </w:r>
    </w:p>
    <w:p>
      <w:pPr>
        <w:pStyle w:val="16"/>
        <w:numPr>
          <w:ilvl w:val="0"/>
          <w:numId w:val="5"/>
        </w:numPr>
        <w:ind w:left="0" w:firstLine="560"/>
        <w:rPr>
          <w:color w:val="000000"/>
        </w:rPr>
      </w:pPr>
      <w:r>
        <w:rPr>
          <w:rFonts w:hint="eastAsia"/>
          <w:color w:val="000000"/>
        </w:rPr>
        <w:t>标的项目固定资产投资强度不低于</w:t>
      </w:r>
      <w:r>
        <w:rPr>
          <w:rFonts w:hint="eastAsia"/>
          <w:color w:val="000000"/>
          <w:lang w:val="en-US" w:eastAsia="zh-CN"/>
        </w:rPr>
        <w:t>5000</w:t>
      </w:r>
      <w:r>
        <w:rPr>
          <w:rFonts w:hint="eastAsia"/>
          <w:color w:val="000000"/>
        </w:rPr>
        <w:t>元</w:t>
      </w:r>
      <w:r>
        <w:rPr>
          <w:color w:val="000000"/>
        </w:rPr>
        <w:t>/</w:t>
      </w:r>
      <w:r>
        <w:rPr>
          <w:rFonts w:hint="eastAsia"/>
          <w:color w:val="000000"/>
        </w:rPr>
        <w:t>平方米，投资强度</w:t>
      </w:r>
      <w:r>
        <w:rPr>
          <w:color w:val="000000"/>
        </w:rPr>
        <w:t>=</w:t>
      </w:r>
      <w:r>
        <w:rPr>
          <w:rFonts w:hint="eastAsia"/>
          <w:color w:val="000000"/>
        </w:rPr>
        <w:t>固定资产总投资</w:t>
      </w:r>
      <w:r>
        <w:rPr>
          <w:color w:val="000000"/>
        </w:rPr>
        <w:t>/</w:t>
      </w:r>
      <w:r>
        <w:rPr>
          <w:rFonts w:hint="eastAsia"/>
          <w:color w:val="000000"/>
        </w:rPr>
        <w:t>标的土地面积。</w:t>
      </w:r>
    </w:p>
    <w:p>
      <w:pPr>
        <w:pStyle w:val="16"/>
        <w:numPr>
          <w:ilvl w:val="0"/>
          <w:numId w:val="5"/>
        </w:numPr>
        <w:ind w:left="0" w:firstLine="560"/>
        <w:rPr>
          <w:color w:val="000000"/>
        </w:rPr>
      </w:pPr>
      <w:r>
        <w:rPr>
          <w:rFonts w:hint="eastAsia"/>
          <w:color w:val="000000"/>
        </w:rPr>
        <w:t>项目单位面积工业产值不低于</w:t>
      </w:r>
      <w:r>
        <w:rPr>
          <w:rFonts w:hint="eastAsia"/>
          <w:color w:val="000000"/>
          <w:u w:val="single"/>
          <w:lang w:val="en-US" w:eastAsia="zh-CN"/>
        </w:rPr>
        <w:t>10000</w:t>
      </w:r>
      <w:r>
        <w:rPr>
          <w:rFonts w:hint="eastAsia"/>
          <w:color w:val="000000"/>
          <w:u w:val="single"/>
        </w:rPr>
        <w:t>元</w:t>
      </w:r>
      <w:r>
        <w:rPr>
          <w:color w:val="000000"/>
          <w:u w:val="single"/>
        </w:rPr>
        <w:t>/</w:t>
      </w:r>
      <w:r>
        <w:rPr>
          <w:rFonts w:hint="eastAsia"/>
          <w:color w:val="000000"/>
          <w:u w:val="single"/>
        </w:rPr>
        <w:t>平方米</w:t>
      </w:r>
      <w:r>
        <w:rPr>
          <w:rFonts w:hint="eastAsia"/>
          <w:color w:val="000000"/>
        </w:rPr>
        <w:t>，单位产值</w:t>
      </w:r>
      <w:r>
        <w:rPr>
          <w:color w:val="000000"/>
        </w:rPr>
        <w:t>=</w:t>
      </w:r>
      <w:r>
        <w:rPr>
          <w:rFonts w:hint="eastAsia"/>
          <w:color w:val="000000"/>
        </w:rPr>
        <w:t>项目年度工业产值</w:t>
      </w:r>
      <w:r>
        <w:rPr>
          <w:color w:val="000000"/>
        </w:rPr>
        <w:t>/</w:t>
      </w:r>
      <w:r>
        <w:rPr>
          <w:rFonts w:hint="eastAsia"/>
          <w:color w:val="000000"/>
        </w:rPr>
        <w:t>标的地块面积。</w:t>
      </w:r>
    </w:p>
    <w:p>
      <w:pPr>
        <w:pStyle w:val="16"/>
        <w:numPr>
          <w:ilvl w:val="0"/>
          <w:numId w:val="5"/>
        </w:numPr>
        <w:ind w:left="0" w:firstLine="560"/>
        <w:rPr>
          <w:color w:val="000000"/>
        </w:rPr>
      </w:pPr>
      <w:r>
        <w:rPr>
          <w:rFonts w:hint="eastAsia"/>
          <w:color w:val="000000"/>
        </w:rPr>
        <w:t>标的项目工业产值综合能耗不高于</w:t>
      </w:r>
      <w:r>
        <w:rPr>
          <w:color w:val="000000"/>
          <w:u w:val="single"/>
        </w:rPr>
        <w:t>0.0355</w:t>
      </w:r>
      <w:r>
        <w:rPr>
          <w:rFonts w:hint="eastAsia"/>
          <w:color w:val="000000"/>
          <w:u w:val="single"/>
        </w:rPr>
        <w:t>吨标准煤</w:t>
      </w:r>
      <w:r>
        <w:rPr>
          <w:color w:val="000000"/>
          <w:u w:val="single"/>
        </w:rPr>
        <w:t>/</w:t>
      </w:r>
      <w:r>
        <w:rPr>
          <w:rFonts w:hint="eastAsia"/>
          <w:color w:val="000000"/>
          <w:u w:val="single"/>
        </w:rPr>
        <w:t>万元</w:t>
      </w:r>
      <w:r>
        <w:rPr>
          <w:rFonts w:hint="eastAsia"/>
          <w:color w:val="000000"/>
        </w:rPr>
        <w:t>，以惠东县科工信局认定为准；</w:t>
      </w:r>
    </w:p>
    <w:p>
      <w:pPr>
        <w:pStyle w:val="16"/>
        <w:numPr>
          <w:ilvl w:val="0"/>
          <w:numId w:val="5"/>
        </w:numPr>
        <w:ind w:left="0" w:firstLine="560"/>
        <w:rPr>
          <w:color w:val="000000"/>
        </w:rPr>
      </w:pPr>
      <w:r>
        <w:rPr>
          <w:rFonts w:hint="eastAsia"/>
          <w:color w:val="000000"/>
        </w:rPr>
        <w:t>标的地块年单位税收贡献率不低于</w:t>
      </w:r>
      <w:r>
        <w:rPr>
          <w:rFonts w:hint="eastAsia"/>
          <w:color w:val="000000"/>
          <w:u w:val="single"/>
          <w:lang w:val="en-US" w:eastAsia="zh-CN"/>
        </w:rPr>
        <w:t>30</w:t>
      </w:r>
      <w:r>
        <w:rPr>
          <w:rFonts w:hint="eastAsia"/>
          <w:color w:val="000000"/>
          <w:u w:val="single"/>
        </w:rPr>
        <w:t>万元</w:t>
      </w:r>
      <w:r>
        <w:rPr>
          <w:color w:val="000000"/>
          <w:u w:val="single"/>
        </w:rPr>
        <w:t>/</w:t>
      </w:r>
      <w:r>
        <w:rPr>
          <w:rFonts w:hint="eastAsia"/>
          <w:color w:val="000000"/>
          <w:u w:val="single"/>
        </w:rPr>
        <w:t>亩</w:t>
      </w:r>
      <w:r>
        <w:rPr>
          <w:rFonts w:hint="eastAsia"/>
          <w:color w:val="000000"/>
        </w:rPr>
        <w:t>，企业年度税收贡献以通过电子税务局、自助办税终端等渠道开具的《税收完税证明（文书式）》为依据。</w:t>
      </w:r>
    </w:p>
    <w:p>
      <w:pPr>
        <w:ind w:firstLine="560"/>
        <w:rPr>
          <w:color w:val="000000"/>
        </w:rPr>
      </w:pPr>
      <w:r>
        <w:rPr>
          <w:rFonts w:hint="eastAsia"/>
          <w:color w:val="000000"/>
        </w:rPr>
        <w:t>标的项目竣工之日起第三个自然年的第一季度，项目公司应当向甲方提交以上统计信息资料，甲方可自行或委托专业机构对统计信息资料进行核查。单项认定不合格的，甲方有权要求乙方进行整改（整改期为</w:t>
      </w:r>
      <w:r>
        <w:rPr>
          <w:color w:val="000000"/>
        </w:rPr>
        <w:t>6</w:t>
      </w:r>
      <w:r>
        <w:rPr>
          <w:rFonts w:hint="eastAsia"/>
          <w:color w:val="000000"/>
        </w:rPr>
        <w:t>个月），并有权再次进行专项审验。</w:t>
      </w:r>
    </w:p>
    <w:p>
      <w:pPr>
        <w:pStyle w:val="2"/>
        <w:rPr>
          <w:color w:val="000000"/>
        </w:rPr>
      </w:pPr>
      <w:r>
        <w:rPr>
          <w:rFonts w:hint="eastAsia"/>
          <w:color w:val="000000"/>
        </w:rPr>
        <w:t>投资监管</w:t>
      </w:r>
    </w:p>
    <w:p>
      <w:pPr>
        <w:pStyle w:val="16"/>
        <w:numPr>
          <w:ilvl w:val="0"/>
          <w:numId w:val="2"/>
        </w:numPr>
        <w:ind w:left="0" w:firstLine="560"/>
        <w:rPr>
          <w:rFonts w:ascii="宋体" w:hAnsi="宋体"/>
          <w:color w:val="000000"/>
        </w:rPr>
      </w:pPr>
      <w:r>
        <w:rPr>
          <w:rFonts w:hint="eastAsia" w:ascii="宋体" w:hAnsi="宋体"/>
          <w:color w:val="000000"/>
        </w:rPr>
        <w:t>项目公司成立之日起三十个工作日内，项目公司应依据本协议第一条约定的总用地面积按</w:t>
      </w:r>
      <w:r>
        <w:rPr>
          <w:rFonts w:hint="eastAsia"/>
          <w:color w:val="000000"/>
        </w:rPr>
        <w:t>5</w:t>
      </w:r>
      <w:r>
        <w:rPr>
          <w:color w:val="000000"/>
        </w:rPr>
        <w:t>0</w:t>
      </w:r>
      <w:r>
        <w:rPr>
          <w:rFonts w:hint="eastAsia"/>
          <w:color w:val="000000"/>
        </w:rPr>
        <w:t>元</w:t>
      </w:r>
      <w:r>
        <w:rPr>
          <w:color w:val="000000"/>
        </w:rPr>
        <w:t>/</w:t>
      </w:r>
      <w:r>
        <w:rPr>
          <w:rFonts w:hint="eastAsia"/>
          <w:color w:val="000000"/>
        </w:rPr>
        <w:t>平方米的标准向甲方提供履约担保，该履约担保须为惠东县支行以上的银行机构出具的不可撤销履约保函。</w:t>
      </w:r>
    </w:p>
    <w:p>
      <w:pPr>
        <w:pStyle w:val="16"/>
        <w:numPr>
          <w:ilvl w:val="0"/>
          <w:numId w:val="2"/>
        </w:numPr>
        <w:ind w:left="0" w:firstLine="560"/>
        <w:rPr>
          <w:rFonts w:ascii="宋体" w:hAnsi="宋体"/>
          <w:color w:val="000000"/>
        </w:rPr>
      </w:pPr>
      <w:r>
        <w:rPr>
          <w:rFonts w:hint="eastAsia" w:ascii="宋体" w:hAnsi="宋体"/>
          <w:color w:val="000000"/>
        </w:rPr>
        <w:t>履约担保目的在于保证项目的顺利建设运营，项目达产或视为达产之日止，乙方和（或）项目公司无违约行为的，无息退还履约担保，甲方将予以积极配合；乙方和（或）项目公司有违约行为的，即满足履约担保的兑取条件，甲方有权直接兑取履约担保。</w:t>
      </w:r>
    </w:p>
    <w:p>
      <w:pPr>
        <w:pStyle w:val="16"/>
        <w:numPr>
          <w:ilvl w:val="0"/>
          <w:numId w:val="2"/>
        </w:numPr>
        <w:ind w:left="0" w:firstLine="560"/>
        <w:rPr>
          <w:rFonts w:ascii="宋体" w:hAnsi="宋体"/>
          <w:color w:val="000000"/>
        </w:rPr>
      </w:pPr>
      <w:r>
        <w:rPr>
          <w:rFonts w:hint="eastAsia" w:ascii="宋体" w:hAnsi="宋体"/>
          <w:color w:val="000000"/>
        </w:rPr>
        <w:t>甲方兑取履约担保的，乙方需在甲方兑取履约担保的</w:t>
      </w:r>
      <w:r>
        <w:rPr>
          <w:rFonts w:ascii="宋体" w:hAnsi="宋体"/>
          <w:color w:val="000000"/>
        </w:rPr>
        <w:t>5个工作日内补足履约担保。</w:t>
      </w:r>
    </w:p>
    <w:p>
      <w:pPr>
        <w:pStyle w:val="2"/>
        <w:rPr>
          <w:color w:val="000000"/>
        </w:rPr>
      </w:pPr>
      <w:r>
        <w:rPr>
          <w:rFonts w:hint="eastAsia"/>
          <w:color w:val="000000"/>
        </w:rPr>
        <w:t>土地交付及建设运营</w:t>
      </w:r>
    </w:p>
    <w:p>
      <w:pPr>
        <w:pStyle w:val="16"/>
        <w:numPr>
          <w:ilvl w:val="0"/>
          <w:numId w:val="2"/>
        </w:numPr>
        <w:ind w:left="0" w:firstLine="560"/>
        <w:rPr>
          <w:color w:val="000000"/>
        </w:rPr>
      </w:pPr>
      <w:r>
        <w:rPr>
          <w:rFonts w:hint="eastAsia"/>
          <w:color w:val="000000"/>
        </w:rPr>
        <w:t>项目公司在同自然资源主管部门签订《国有建设用地使用权出让合同》之日起</w:t>
      </w:r>
      <w:r>
        <w:rPr>
          <w:rFonts w:hint="eastAsia"/>
          <w:color w:val="000000"/>
          <w:lang w:val="en-US" w:eastAsia="zh-CN"/>
        </w:rPr>
        <w:t>6</w:t>
      </w:r>
      <w:bookmarkStart w:id="2" w:name="_GoBack"/>
      <w:bookmarkEnd w:id="2"/>
      <w:r>
        <w:rPr>
          <w:rFonts w:hint="eastAsia"/>
          <w:color w:val="000000"/>
        </w:rPr>
        <w:t>个月内开工建设。开工时间以取得《施工许可证》为准。</w:t>
      </w:r>
    </w:p>
    <w:p>
      <w:pPr>
        <w:pStyle w:val="16"/>
        <w:numPr>
          <w:ilvl w:val="0"/>
          <w:numId w:val="2"/>
        </w:numPr>
        <w:ind w:left="0" w:firstLine="560"/>
        <w:rPr>
          <w:color w:val="000000"/>
        </w:rPr>
      </w:pPr>
      <w:r>
        <w:rPr>
          <w:rFonts w:hint="eastAsia"/>
          <w:color w:val="000000"/>
        </w:rPr>
        <w:t>标的项目需在开工后两年内竣工，竣工日期以标的项目完成竣工验收备案之日为准。</w:t>
      </w:r>
    </w:p>
    <w:p>
      <w:pPr>
        <w:pStyle w:val="16"/>
        <w:numPr>
          <w:ilvl w:val="0"/>
          <w:numId w:val="2"/>
        </w:numPr>
        <w:ind w:left="0" w:firstLine="560"/>
        <w:rPr>
          <w:color w:val="000000"/>
        </w:rPr>
      </w:pPr>
      <w:r>
        <w:rPr>
          <w:rFonts w:hint="eastAsia"/>
          <w:color w:val="000000"/>
        </w:rPr>
        <w:t>标的项目需在竣工之日起6个月内投产，并在竣工之日第二个自然年达产。</w:t>
      </w:r>
    </w:p>
    <w:p>
      <w:pPr>
        <w:pStyle w:val="2"/>
        <w:rPr>
          <w:color w:val="000000"/>
        </w:rPr>
      </w:pPr>
      <w:r>
        <w:rPr>
          <w:rFonts w:hint="eastAsia"/>
          <w:color w:val="000000"/>
        </w:rPr>
        <w:t>权利义务</w:t>
      </w:r>
    </w:p>
    <w:p>
      <w:pPr>
        <w:pStyle w:val="16"/>
        <w:numPr>
          <w:ilvl w:val="0"/>
          <w:numId w:val="2"/>
        </w:numPr>
        <w:ind w:left="0" w:firstLine="560"/>
        <w:rPr>
          <w:color w:val="000000"/>
        </w:rPr>
      </w:pPr>
      <w:r>
        <w:rPr>
          <w:rFonts w:hint="eastAsia"/>
          <w:color w:val="000000"/>
        </w:rPr>
        <w:t>甲方权利义务</w:t>
      </w:r>
    </w:p>
    <w:p>
      <w:pPr>
        <w:pStyle w:val="16"/>
        <w:numPr>
          <w:ilvl w:val="0"/>
          <w:numId w:val="6"/>
        </w:numPr>
        <w:ind w:left="0" w:firstLine="560"/>
        <w:rPr>
          <w:color w:val="000000"/>
        </w:rPr>
      </w:pPr>
      <w:r>
        <w:rPr>
          <w:rFonts w:hint="eastAsia"/>
          <w:color w:val="000000"/>
        </w:rPr>
        <w:t>甲方提供相关的投资服务和公共管理，指导和协助乙方开展相关工作，在合法范围内协助乙方或项目公司解决项目建设及建成投产后经营过程中的问题。</w:t>
      </w:r>
    </w:p>
    <w:p>
      <w:pPr>
        <w:pStyle w:val="16"/>
        <w:numPr>
          <w:ilvl w:val="0"/>
          <w:numId w:val="6"/>
        </w:numPr>
        <w:ind w:left="0" w:firstLine="560"/>
        <w:rPr>
          <w:color w:val="000000"/>
        </w:rPr>
      </w:pPr>
      <w:r>
        <w:rPr>
          <w:rFonts w:hint="eastAsia"/>
          <w:color w:val="000000"/>
        </w:rPr>
        <w:t>标的项目建设、施工及竣工投产后，甲方有权自行或委托专业机构按照本协议核查项目的履约情况，若乙方违反本协议有关约定，甲方有权追究乙方的违约责任。</w:t>
      </w:r>
    </w:p>
    <w:p>
      <w:pPr>
        <w:pStyle w:val="16"/>
        <w:numPr>
          <w:ilvl w:val="0"/>
          <w:numId w:val="6"/>
        </w:numPr>
        <w:ind w:left="0" w:firstLine="560"/>
        <w:rPr>
          <w:color w:val="000000"/>
        </w:rPr>
      </w:pPr>
      <w:r>
        <w:rPr>
          <w:rFonts w:hint="eastAsia"/>
          <w:color w:val="000000"/>
        </w:rPr>
        <w:t>甲方积极协助项目公司申请国家、省、市、县的优惠政策支持。</w:t>
      </w:r>
    </w:p>
    <w:p>
      <w:pPr>
        <w:pStyle w:val="16"/>
        <w:numPr>
          <w:ilvl w:val="0"/>
          <w:numId w:val="2"/>
        </w:numPr>
        <w:ind w:left="0" w:firstLine="560"/>
        <w:rPr>
          <w:color w:val="000000"/>
        </w:rPr>
      </w:pPr>
      <w:r>
        <w:rPr>
          <w:rFonts w:hint="eastAsia"/>
          <w:color w:val="000000"/>
        </w:rPr>
        <w:t>乙方和（或）项目公司权利义务</w:t>
      </w:r>
    </w:p>
    <w:p>
      <w:pPr>
        <w:pStyle w:val="16"/>
        <w:numPr>
          <w:ilvl w:val="0"/>
          <w:numId w:val="7"/>
        </w:numPr>
        <w:ind w:left="0" w:firstLine="560"/>
        <w:rPr>
          <w:color w:val="000000"/>
        </w:rPr>
      </w:pPr>
      <w:r>
        <w:rPr>
          <w:rFonts w:hint="eastAsia"/>
          <w:color w:val="000000"/>
        </w:rPr>
        <w:t>项目公司须保证标的项目的开工、建设及运营符合标的项目所在地行政职能部门的审批、备案等行政手续，依法建设，依法运营。</w:t>
      </w:r>
    </w:p>
    <w:p>
      <w:pPr>
        <w:pStyle w:val="16"/>
        <w:numPr>
          <w:ilvl w:val="0"/>
          <w:numId w:val="7"/>
        </w:numPr>
        <w:ind w:left="0" w:firstLine="560"/>
        <w:rPr>
          <w:color w:val="000000"/>
        </w:rPr>
      </w:pPr>
      <w:r>
        <w:rPr>
          <w:rFonts w:hint="eastAsia"/>
          <w:color w:val="000000"/>
        </w:rPr>
        <w:t>标的项目开工建设后，项目公司需于每月的</w:t>
      </w:r>
      <w:r>
        <w:rPr>
          <w:color w:val="000000"/>
        </w:rPr>
        <w:t>15</w:t>
      </w:r>
      <w:r>
        <w:rPr>
          <w:rFonts w:hint="eastAsia"/>
          <w:color w:val="000000"/>
        </w:rPr>
        <w:t>日前向甲方通报本项目固定资产完成投资额、资金到位率、建设进度等资料。</w:t>
      </w:r>
    </w:p>
    <w:p>
      <w:pPr>
        <w:pStyle w:val="16"/>
        <w:numPr>
          <w:ilvl w:val="0"/>
          <w:numId w:val="7"/>
        </w:numPr>
        <w:ind w:left="0" w:firstLine="560"/>
        <w:rPr>
          <w:color w:val="000000"/>
        </w:rPr>
      </w:pPr>
      <w:r>
        <w:rPr>
          <w:rFonts w:hint="eastAsia"/>
          <w:color w:val="000000"/>
        </w:rPr>
        <w:t>项目公司在生产经营期间内，需依法缴纳政府规定的各项税费及依法向甲方相关部门提供统计信息资料。</w:t>
      </w:r>
    </w:p>
    <w:p>
      <w:pPr>
        <w:pStyle w:val="16"/>
        <w:numPr>
          <w:ilvl w:val="0"/>
          <w:numId w:val="7"/>
        </w:numPr>
        <w:ind w:left="0" w:firstLine="560"/>
        <w:rPr>
          <w:color w:val="000000"/>
        </w:rPr>
      </w:pPr>
      <w:r>
        <w:rPr>
          <w:rFonts w:hint="eastAsia"/>
          <w:color w:val="000000"/>
        </w:rPr>
        <w:t>乙方应当积极动员标的项目施工中标单位在惠东注册成立独立法人机构或分公司，依法纳税。标的项目如需进口设备的，应以项目公司名义进行，并在甲方所在地报关、清关，使得购买设备的关税、进口税在标的项目所在地缴纳。</w:t>
      </w:r>
    </w:p>
    <w:p>
      <w:pPr>
        <w:pStyle w:val="2"/>
      </w:pPr>
      <w:r>
        <w:rPr>
          <w:rFonts w:hint="eastAsia"/>
        </w:rPr>
        <w:t>违约责任</w:t>
      </w:r>
    </w:p>
    <w:p>
      <w:pPr>
        <w:pStyle w:val="16"/>
        <w:numPr>
          <w:ilvl w:val="0"/>
          <w:numId w:val="2"/>
        </w:numPr>
        <w:ind w:left="0" w:firstLine="560"/>
        <w:rPr>
          <w:color w:val="000000"/>
        </w:rPr>
      </w:pPr>
      <w:r>
        <w:rPr>
          <w:rFonts w:hint="eastAsia"/>
          <w:color w:val="000000"/>
        </w:rPr>
        <w:t>乙方和（或）项目公司违反本协议的约定，即为违约，因乙方和（或）项目公司自身原因导致有下列情形之一的，甲方有权直接兑取乙方和（或）项目公司的履约担保，且相关政府部门有权收回已交付的土地：</w:t>
      </w:r>
    </w:p>
    <w:p>
      <w:pPr>
        <w:pStyle w:val="16"/>
        <w:ind w:firstLine="0" w:firstLineChars="0"/>
        <w:rPr>
          <w:color w:val="000000"/>
        </w:rPr>
      </w:pPr>
      <w:r>
        <w:rPr>
          <w:rFonts w:hint="eastAsia"/>
        </w:rPr>
        <w:t xml:space="preserve">   （一）经甲方核查，乙方投资总额（固定资产投资总额）未达到承诺标准的，甲方有权催告乙方在6个月内完成承诺；催告期届满仍未完成的，乙方向甲方一次性支付违约金，违约金按实际投资与承诺投资之间差额的10%计；</w:t>
      </w:r>
    </w:p>
    <w:p>
      <w:pPr>
        <w:pStyle w:val="16"/>
        <w:ind w:firstLine="0" w:firstLineChars="0"/>
        <w:rPr>
          <w:color w:val="000000"/>
        </w:rPr>
      </w:pPr>
      <w:r>
        <w:rPr>
          <w:rFonts w:hint="eastAsia"/>
        </w:rPr>
        <w:t>（二）</w:t>
      </w:r>
      <w:r>
        <w:rPr>
          <w:rFonts w:hint="eastAsia"/>
          <w:color w:val="000000"/>
        </w:rPr>
        <w:t>没有按时提供履约担保（含补足履约担保）、开工、竣工、投产、实际缴纳注册资本的，每逾期一日，按</w:t>
      </w:r>
      <w:r>
        <w:rPr>
          <w:color w:val="000000"/>
        </w:rPr>
        <w:t>10000</w:t>
      </w:r>
      <w:r>
        <w:rPr>
          <w:rFonts w:hint="eastAsia"/>
          <w:color w:val="000000"/>
        </w:rPr>
        <w:t>元</w:t>
      </w:r>
      <w:r>
        <w:rPr>
          <w:color w:val="000000"/>
        </w:rPr>
        <w:t>/</w:t>
      </w:r>
      <w:r>
        <w:rPr>
          <w:rFonts w:hint="eastAsia"/>
          <w:color w:val="000000"/>
        </w:rPr>
        <w:t>日向甲方支付违约金；</w:t>
      </w:r>
    </w:p>
    <w:p>
      <w:pPr>
        <w:pStyle w:val="16"/>
        <w:ind w:firstLineChars="0"/>
      </w:pPr>
      <w:r>
        <w:rPr>
          <w:rFonts w:hint="eastAsia"/>
        </w:rPr>
        <w:t>（三）</w:t>
      </w:r>
      <w:r>
        <w:rPr>
          <w:rFonts w:hint="eastAsia"/>
          <w:color w:val="000000"/>
        </w:rPr>
        <w:t>违反本协议的约定，乙方的注册地址变更至惠东县以外的，自变更之日起按1</w:t>
      </w:r>
      <w:r>
        <w:rPr>
          <w:color w:val="000000"/>
        </w:rPr>
        <w:t>0000</w:t>
      </w:r>
      <w:r>
        <w:rPr>
          <w:rFonts w:hint="eastAsia"/>
          <w:color w:val="000000"/>
        </w:rPr>
        <w:t>元/日向甲方支付违约金，直至乙方的注册地址重新变更回惠东；</w:t>
      </w:r>
    </w:p>
    <w:p>
      <w:pPr>
        <w:pStyle w:val="16"/>
        <w:numPr>
          <w:ilvl w:val="0"/>
          <w:numId w:val="2"/>
        </w:numPr>
        <w:ind w:left="0" w:firstLine="560"/>
        <w:rPr>
          <w:color w:val="000000"/>
        </w:rPr>
      </w:pPr>
      <w:r>
        <w:rPr>
          <w:rFonts w:hint="eastAsia"/>
        </w:rPr>
        <w:t>项目公司逾期</w:t>
      </w:r>
      <w:r>
        <w:t>6</w:t>
      </w:r>
      <w:r>
        <w:rPr>
          <w:rFonts w:hint="eastAsia"/>
        </w:rPr>
        <w:t>个月开工或者开工后连续停工</w:t>
      </w:r>
      <w:r>
        <w:t>6</w:t>
      </w:r>
      <w:r>
        <w:rPr>
          <w:rFonts w:hint="eastAsia"/>
        </w:rPr>
        <w:t>个月，经责令限期开工仍未在限期内开工的，政府有权依法按照标的地块的竞得价收回土地，造成标的地块闲置的，政府有权根据《闲置土地处置办法》对闲置土地实施处置行为，有违约责任的，仍按本协议约定向甲方承担违约责任。</w:t>
      </w:r>
    </w:p>
    <w:p>
      <w:pPr>
        <w:pStyle w:val="16"/>
        <w:numPr>
          <w:ilvl w:val="0"/>
          <w:numId w:val="2"/>
        </w:numPr>
        <w:ind w:left="0" w:firstLine="560"/>
        <w:rPr>
          <w:color w:val="000000"/>
        </w:rPr>
      </w:pPr>
      <w:r>
        <w:rPr>
          <w:rFonts w:hint="eastAsia"/>
        </w:rPr>
        <w:t>如因政府相关部门或甲方的审批进度、交地时间迟延等非乙方及其关联方单方原因造成项目迟延的，项目动工时间和开发建设进度及投产、达产时间要求作相应顺延。</w:t>
      </w:r>
    </w:p>
    <w:p>
      <w:pPr>
        <w:pStyle w:val="16"/>
        <w:numPr>
          <w:ilvl w:val="0"/>
          <w:numId w:val="2"/>
        </w:numPr>
        <w:ind w:left="0" w:firstLine="560"/>
      </w:pPr>
      <w:r>
        <w:rPr>
          <w:rFonts w:hint="eastAsia"/>
        </w:rPr>
        <w:t>乙方出现违约情形时，甲方将相关情况纳入政府征信系统记录，向社会公开发布。</w:t>
      </w:r>
    </w:p>
    <w:p>
      <w:pPr>
        <w:pStyle w:val="2"/>
        <w:rPr>
          <w:color w:val="000000"/>
        </w:rPr>
      </w:pPr>
      <w:r>
        <w:rPr>
          <w:rFonts w:hint="eastAsia"/>
          <w:color w:val="000000"/>
        </w:rPr>
        <w:t>其他事项</w:t>
      </w:r>
    </w:p>
    <w:p>
      <w:pPr>
        <w:pStyle w:val="16"/>
        <w:numPr>
          <w:ilvl w:val="0"/>
          <w:numId w:val="2"/>
        </w:numPr>
        <w:ind w:left="0" w:firstLine="560"/>
        <w:rPr>
          <w:color w:val="000000"/>
        </w:rPr>
      </w:pPr>
      <w:r>
        <w:rPr>
          <w:rFonts w:hint="eastAsia"/>
          <w:color w:val="000000"/>
        </w:rPr>
        <w:t>通知与联系</w:t>
      </w:r>
    </w:p>
    <w:p>
      <w:pPr>
        <w:ind w:firstLine="560"/>
        <w:rPr>
          <w:color w:val="000000"/>
        </w:rPr>
      </w:pPr>
      <w:r>
        <w:rPr>
          <w:rFonts w:hint="eastAsia"/>
          <w:color w:val="000000"/>
        </w:rPr>
        <w:t>任何与本合同有关的由本合同双方当事人发出的任何文件、通知及其他通讯往来，如采取书面形式，必须送达至下述地址或双方书面通知的其他地址。若一方变更地址、电话或传真号码，应即时以书面形式通知对方，否则，合同中的地址、电话及传真号码将被视为有效，任何一方按合同中的地址、电话及传真号码发送的文件或传真视为履行了传递文件的通知义务。如因合同中确定的地址错误或地址变更没有书面通知造成送达不能的，由有通知义务的一方自行承担一切损失和责任。</w:t>
      </w:r>
    </w:p>
    <w:p>
      <w:pPr>
        <w:ind w:firstLine="560"/>
        <w:rPr>
          <w:color w:val="000000"/>
        </w:rPr>
      </w:pPr>
      <w:r>
        <w:rPr>
          <w:rFonts w:hint="eastAsia"/>
          <w:color w:val="000000"/>
        </w:rPr>
        <w:t>合同各方一致确认以下通讯地址和联系方式适用范围包括双方非诉时各类通知、协议等文件以及就合同发生纠纷时要求整改函、律师函等相关文件和法律文书的送达，同时包括在争议进入仲裁、民事诉讼程序后的一审、二审、再审和执行程序。</w:t>
      </w:r>
    </w:p>
    <w:p>
      <w:pPr>
        <w:ind w:firstLine="560"/>
        <w:rPr>
          <w:color w:val="000000"/>
        </w:rPr>
      </w:pPr>
      <w:r>
        <w:rPr>
          <w:rFonts w:hint="eastAsia"/>
          <w:color w:val="000000"/>
        </w:rPr>
        <w:t>甲方：【惠东县</w:t>
      </w:r>
      <w:r>
        <w:rPr>
          <w:rFonts w:hint="eastAsia"/>
          <w:color w:val="000000"/>
          <w:lang w:eastAsia="zh-CN"/>
        </w:rPr>
        <w:t>稔山</w:t>
      </w:r>
      <w:r>
        <w:rPr>
          <w:rFonts w:hint="eastAsia"/>
          <w:color w:val="000000"/>
        </w:rPr>
        <w:t>镇人民政府】</w:t>
      </w:r>
    </w:p>
    <w:p>
      <w:pPr>
        <w:ind w:firstLine="560"/>
        <w:rPr>
          <w:color w:val="000000"/>
        </w:rPr>
      </w:pPr>
      <w:r>
        <w:rPr>
          <w:rFonts w:hint="eastAsia"/>
          <w:color w:val="000000"/>
        </w:rPr>
        <w:t>地址：【广东省惠州市惠东县</w:t>
      </w:r>
      <w:r>
        <w:rPr>
          <w:rFonts w:hint="eastAsia"/>
          <w:color w:val="000000"/>
          <w:lang w:eastAsia="zh-CN"/>
        </w:rPr>
        <w:t>稔山镇</w:t>
      </w:r>
      <w:r>
        <w:rPr>
          <w:rFonts w:hint="eastAsia"/>
          <w:color w:val="000000"/>
        </w:rPr>
        <w:t>】</w:t>
      </w:r>
    </w:p>
    <w:p>
      <w:pPr>
        <w:ind w:firstLine="560"/>
        <w:rPr>
          <w:color w:val="000000"/>
        </w:rPr>
      </w:pPr>
      <w:r>
        <w:rPr>
          <w:rFonts w:hint="eastAsia"/>
          <w:color w:val="000000"/>
        </w:rPr>
        <w:t>联系人：【           】</w:t>
      </w:r>
    </w:p>
    <w:p>
      <w:pPr>
        <w:ind w:firstLine="560"/>
        <w:rPr>
          <w:color w:val="000000"/>
        </w:rPr>
      </w:pPr>
      <w:r>
        <w:rPr>
          <w:rFonts w:hint="eastAsia"/>
          <w:color w:val="000000"/>
        </w:rPr>
        <w:t>电话：【             】</w:t>
      </w:r>
    </w:p>
    <w:p>
      <w:pPr>
        <w:ind w:firstLine="560"/>
        <w:rPr>
          <w:color w:val="000000"/>
        </w:rPr>
      </w:pPr>
      <w:r>
        <w:rPr>
          <w:rFonts w:hint="eastAsia"/>
          <w:color w:val="000000"/>
        </w:rPr>
        <w:t>邮编：【       】</w:t>
      </w:r>
    </w:p>
    <w:p>
      <w:pPr>
        <w:ind w:firstLine="560"/>
        <w:rPr>
          <w:color w:val="000000"/>
        </w:rPr>
      </w:pPr>
    </w:p>
    <w:p>
      <w:pPr>
        <w:ind w:firstLine="560"/>
        <w:rPr>
          <w:color w:val="000000"/>
        </w:rPr>
      </w:pPr>
      <w:r>
        <w:rPr>
          <w:rFonts w:hint="eastAsia"/>
          <w:color w:val="000000"/>
        </w:rPr>
        <w:t>乙方：【</w:t>
      </w:r>
      <w:r>
        <w:rPr>
          <w:rFonts w:hint="eastAsia"/>
          <w:color w:val="000000"/>
          <w:highlight w:val="none"/>
          <w:lang w:val="en-US" w:eastAsia="zh-CN"/>
        </w:rPr>
        <w:t xml:space="preserve">        </w:t>
      </w:r>
      <w:r>
        <w:rPr>
          <w:rFonts w:hint="eastAsia"/>
          <w:color w:val="000000"/>
        </w:rPr>
        <w:t>】</w:t>
      </w:r>
    </w:p>
    <w:p>
      <w:pPr>
        <w:ind w:firstLine="560"/>
        <w:rPr>
          <w:color w:val="000000"/>
        </w:rPr>
      </w:pPr>
      <w:r>
        <w:rPr>
          <w:rFonts w:hint="eastAsia"/>
          <w:color w:val="000000"/>
        </w:rPr>
        <w:t>地址：【</w:t>
      </w:r>
      <w:r>
        <w:rPr>
          <w:rFonts w:hint="eastAsia"/>
          <w:color w:val="000000"/>
          <w:highlight w:val="none"/>
          <w:lang w:val="en-US" w:eastAsia="zh-CN"/>
        </w:rPr>
        <w:t xml:space="preserve">        </w:t>
      </w:r>
      <w:r>
        <w:rPr>
          <w:rFonts w:hint="eastAsia"/>
          <w:color w:val="000000"/>
        </w:rPr>
        <w:t>】</w:t>
      </w:r>
    </w:p>
    <w:p>
      <w:pPr>
        <w:ind w:firstLine="560"/>
        <w:rPr>
          <w:color w:val="000000"/>
        </w:rPr>
      </w:pPr>
      <w:r>
        <w:rPr>
          <w:rFonts w:hint="eastAsia"/>
          <w:color w:val="000000"/>
        </w:rPr>
        <w:t>联系人：【</w:t>
      </w:r>
      <w:r>
        <w:rPr>
          <w:rFonts w:hint="eastAsia"/>
          <w:color w:val="000000"/>
          <w:lang w:val="en-US" w:eastAsia="zh-CN"/>
        </w:rPr>
        <w:t xml:space="preserve">       </w:t>
      </w:r>
      <w:r>
        <w:rPr>
          <w:rFonts w:hint="eastAsia"/>
          <w:color w:val="000000"/>
        </w:rPr>
        <w:t>】</w:t>
      </w:r>
    </w:p>
    <w:p>
      <w:pPr>
        <w:ind w:firstLine="560"/>
        <w:rPr>
          <w:color w:val="000000"/>
        </w:rPr>
      </w:pPr>
      <w:r>
        <w:rPr>
          <w:rFonts w:hint="eastAsia"/>
          <w:color w:val="000000"/>
        </w:rPr>
        <w:t>电话：【</w:t>
      </w:r>
      <w:r>
        <w:rPr>
          <w:rFonts w:hint="eastAsia"/>
          <w:color w:val="000000"/>
          <w:lang w:val="en-US" w:eastAsia="zh-CN"/>
        </w:rPr>
        <w:t xml:space="preserve">         </w:t>
      </w:r>
      <w:r>
        <w:rPr>
          <w:rFonts w:hint="eastAsia"/>
          <w:color w:val="000000"/>
        </w:rPr>
        <w:t>】</w:t>
      </w:r>
    </w:p>
    <w:p>
      <w:pPr>
        <w:ind w:firstLine="560"/>
        <w:rPr>
          <w:color w:val="000000"/>
        </w:rPr>
      </w:pPr>
      <w:r>
        <w:rPr>
          <w:rFonts w:hint="eastAsia"/>
          <w:color w:val="000000"/>
        </w:rPr>
        <w:t>邮编：【</w:t>
      </w:r>
      <w:r>
        <w:rPr>
          <w:rFonts w:hint="eastAsia"/>
          <w:color w:val="000000"/>
          <w:lang w:val="en-US" w:eastAsia="zh-CN"/>
        </w:rPr>
        <w:t xml:space="preserve">          </w:t>
      </w:r>
      <w:r>
        <w:rPr>
          <w:rFonts w:hint="eastAsia"/>
          <w:color w:val="000000"/>
        </w:rPr>
        <w:t>】</w:t>
      </w:r>
    </w:p>
    <w:p>
      <w:pPr>
        <w:pStyle w:val="16"/>
        <w:numPr>
          <w:ilvl w:val="0"/>
          <w:numId w:val="2"/>
        </w:numPr>
        <w:ind w:left="0" w:firstLine="560"/>
        <w:rPr>
          <w:color w:val="000000"/>
        </w:rPr>
      </w:pPr>
      <w:r>
        <w:rPr>
          <w:rFonts w:hint="eastAsia"/>
          <w:color w:val="000000"/>
        </w:rPr>
        <w:t>本协议自双方法定代表人或授权代表签字并加盖各自的公章之日起生效。</w:t>
      </w:r>
    </w:p>
    <w:p>
      <w:pPr>
        <w:pStyle w:val="16"/>
        <w:numPr>
          <w:ilvl w:val="0"/>
          <w:numId w:val="2"/>
        </w:numPr>
        <w:ind w:left="0" w:firstLine="560"/>
        <w:rPr>
          <w:color w:val="000000"/>
        </w:rPr>
      </w:pPr>
      <w:r>
        <w:rPr>
          <w:rFonts w:hint="eastAsia"/>
          <w:color w:val="000000"/>
        </w:rPr>
        <w:t>本协议一式贰份，甲乙双方各执壹份。本协议未尽事宜，经甲乙双方协商一致可订立补充条款。补充条款及附件均为本协议不可分割的部分，与本协议具有同等法律效力。</w:t>
      </w:r>
    </w:p>
    <w:p>
      <w:pPr>
        <w:pStyle w:val="16"/>
        <w:numPr>
          <w:ilvl w:val="0"/>
          <w:numId w:val="2"/>
        </w:numPr>
        <w:ind w:left="0" w:firstLine="560"/>
        <w:rPr>
          <w:color w:val="000000"/>
        </w:rPr>
      </w:pPr>
      <w:r>
        <w:rPr>
          <w:rFonts w:hint="eastAsia"/>
          <w:color w:val="000000"/>
        </w:rPr>
        <w:t>本协议在履行过程中发生争议，双方应友好协商解决，若双方仍协商不成的，任何一方均可向甲方所在地有管辖权的人民法院起诉，以解决争议。</w:t>
      </w:r>
    </w:p>
    <w:p>
      <w:pPr>
        <w:ind w:firstLine="0" w:firstLineChars="0"/>
        <w:rPr>
          <w:color w:val="000000"/>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9"/>
        <w:gridCol w:w="3401"/>
        <w:gridCol w:w="993"/>
        <w:gridCol w:w="3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ind w:firstLine="0" w:firstLineChars="0"/>
              <w:rPr>
                <w:color w:val="000000"/>
              </w:rPr>
            </w:pPr>
            <w:r>
              <w:rPr>
                <w:rFonts w:hint="eastAsia"/>
                <w:color w:val="000000"/>
              </w:rPr>
              <w:t>甲方：</w:t>
            </w:r>
          </w:p>
        </w:tc>
        <w:tc>
          <w:tcPr>
            <w:tcW w:w="3401" w:type="dxa"/>
          </w:tcPr>
          <w:p>
            <w:pPr>
              <w:ind w:firstLine="0" w:firstLineChars="0"/>
              <w:rPr>
                <w:rFonts w:hint="default" w:eastAsia="宋体"/>
                <w:color w:val="000000"/>
                <w:lang w:val="en-US" w:eastAsia="zh-CN"/>
              </w:rPr>
            </w:pPr>
            <w:r>
              <w:rPr>
                <w:rFonts w:hint="eastAsia"/>
                <w:color w:val="000000"/>
                <w:lang w:eastAsia="zh-CN"/>
              </w:rPr>
              <w:t>惠东县稔山</w:t>
            </w:r>
            <w:r>
              <w:rPr>
                <w:rFonts w:hint="eastAsia"/>
                <w:color w:val="000000"/>
              </w:rPr>
              <w:t>镇人民政府（盖章）</w:t>
            </w:r>
            <w:r>
              <w:rPr>
                <w:rFonts w:hint="eastAsia"/>
                <w:color w:val="000000"/>
                <w:lang w:val="en-US" w:eastAsia="zh-CN"/>
              </w:rPr>
              <w:t xml:space="preserve">                            </w:t>
            </w:r>
          </w:p>
        </w:tc>
        <w:tc>
          <w:tcPr>
            <w:tcW w:w="993" w:type="dxa"/>
          </w:tcPr>
          <w:p>
            <w:pPr>
              <w:ind w:firstLine="0" w:firstLineChars="0"/>
              <w:rPr>
                <w:color w:val="000000"/>
              </w:rPr>
            </w:pPr>
            <w:r>
              <w:rPr>
                <w:rFonts w:hint="eastAsia"/>
                <w:color w:val="000000"/>
              </w:rPr>
              <w:t>乙方：</w:t>
            </w:r>
          </w:p>
        </w:tc>
        <w:tc>
          <w:tcPr>
            <w:tcW w:w="3367" w:type="dxa"/>
          </w:tcPr>
          <w:p>
            <w:pPr>
              <w:ind w:firstLine="0" w:firstLineChars="0"/>
              <w:rPr>
                <w:rFonts w:hint="eastAsia"/>
                <w:color w:val="000000"/>
                <w:highlight w:val="none"/>
                <w:lang w:val="en-US" w:eastAsia="zh-CN"/>
              </w:rPr>
            </w:pPr>
            <w:r>
              <w:rPr>
                <w:rFonts w:hint="eastAsia"/>
                <w:color w:val="000000"/>
                <w:highlight w:val="none"/>
                <w:lang w:val="en-US" w:eastAsia="zh-CN"/>
              </w:rPr>
              <w:t xml:space="preserve"> </w:t>
            </w:r>
          </w:p>
          <w:p>
            <w:pPr>
              <w:ind w:firstLine="0" w:firstLineChars="0"/>
              <w:rPr>
                <w:rFonts w:hint="eastAsia"/>
                <w:color w:val="000000"/>
                <w:highlight w:val="none"/>
                <w:lang w:val="en-US" w:eastAsia="zh-CN"/>
              </w:rPr>
            </w:pPr>
            <w:r>
              <w:rPr>
                <w:rFonts w:hint="eastAsia"/>
                <w:color w:val="000000"/>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ind w:firstLine="0" w:firstLineChars="0"/>
              <w:rPr>
                <w:color w:val="000000"/>
              </w:rPr>
            </w:pPr>
            <w:r>
              <w:rPr>
                <w:rFonts w:hint="eastAsia"/>
                <w:color w:val="000000"/>
              </w:rPr>
              <w:t>代表：</w:t>
            </w:r>
          </w:p>
        </w:tc>
        <w:tc>
          <w:tcPr>
            <w:tcW w:w="3401" w:type="dxa"/>
          </w:tcPr>
          <w:p>
            <w:pPr>
              <w:ind w:firstLine="0" w:firstLineChars="0"/>
              <w:rPr>
                <w:color w:val="000000"/>
              </w:rPr>
            </w:pPr>
          </w:p>
        </w:tc>
        <w:tc>
          <w:tcPr>
            <w:tcW w:w="993" w:type="dxa"/>
          </w:tcPr>
          <w:p>
            <w:pPr>
              <w:ind w:firstLine="0" w:firstLineChars="0"/>
              <w:rPr>
                <w:color w:val="000000"/>
              </w:rPr>
            </w:pPr>
            <w:r>
              <w:rPr>
                <w:rFonts w:hint="eastAsia"/>
                <w:color w:val="000000"/>
              </w:rPr>
              <w:t>代表：</w:t>
            </w:r>
          </w:p>
        </w:tc>
        <w:tc>
          <w:tcPr>
            <w:tcW w:w="3367" w:type="dxa"/>
          </w:tcPr>
          <w:p>
            <w:pPr>
              <w:ind w:firstLine="0" w:firstLineChars="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ind w:firstLine="0" w:firstLineChars="0"/>
              <w:rPr>
                <w:color w:val="000000"/>
              </w:rPr>
            </w:pPr>
            <w:r>
              <w:rPr>
                <w:rFonts w:hint="eastAsia"/>
                <w:color w:val="000000"/>
              </w:rPr>
              <w:t>时间：</w:t>
            </w:r>
          </w:p>
        </w:tc>
        <w:tc>
          <w:tcPr>
            <w:tcW w:w="3401" w:type="dxa"/>
          </w:tcPr>
          <w:p>
            <w:pPr>
              <w:ind w:firstLine="0" w:firstLineChars="0"/>
              <w:rPr>
                <w:color w:val="000000"/>
              </w:rPr>
            </w:pPr>
          </w:p>
        </w:tc>
        <w:tc>
          <w:tcPr>
            <w:tcW w:w="993" w:type="dxa"/>
          </w:tcPr>
          <w:p>
            <w:pPr>
              <w:ind w:firstLine="0" w:firstLineChars="0"/>
              <w:rPr>
                <w:color w:val="000000"/>
              </w:rPr>
            </w:pPr>
            <w:r>
              <w:rPr>
                <w:rFonts w:hint="eastAsia"/>
                <w:color w:val="000000"/>
              </w:rPr>
              <w:t>时间：</w:t>
            </w:r>
          </w:p>
        </w:tc>
        <w:tc>
          <w:tcPr>
            <w:tcW w:w="3367" w:type="dxa"/>
          </w:tcPr>
          <w:p>
            <w:pPr>
              <w:ind w:firstLine="0" w:firstLineChars="0"/>
              <w:rPr>
                <w:color w:val="000000"/>
              </w:rPr>
            </w:pPr>
          </w:p>
        </w:tc>
      </w:tr>
    </w:tbl>
    <w:p>
      <w:pPr>
        <w:spacing w:beforeLines="50" w:afterLines="50"/>
        <w:ind w:left="0" w:leftChars="0" w:firstLine="0" w:firstLineChars="0"/>
        <w:rPr>
          <w:rFonts w:ascii="宋体" w:hAnsi="宋体"/>
          <w:color w:val="000000"/>
          <w:szCs w:val="28"/>
        </w:rPr>
      </w:pP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center"/>
    </w:pPr>
    <w:r>
      <w:fldChar w:fldCharType="begin"/>
    </w:r>
    <w:r>
      <w:instrText xml:space="preserve">PAGE   \* MERGEFORMAT</w:instrText>
    </w:r>
    <w:r>
      <w:fldChar w:fldCharType="separate"/>
    </w:r>
    <w:r>
      <w:rPr>
        <w:lang w:val="zh-CN"/>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Thousand"/>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0000002"/>
    <w:multiLevelType w:val="multilevel"/>
    <w:tmpl w:val="00000002"/>
    <w:lvl w:ilvl="0" w:tentative="0">
      <w:start w:val="1"/>
      <w:numFmt w:val="chineseCountingThousand"/>
      <w:pStyle w:val="2"/>
      <w:lvlText w:val="第%1章"/>
      <w:lvlJc w:val="left"/>
      <w:pPr>
        <w:ind w:left="620" w:hanging="420"/>
      </w:pPr>
      <w:rPr>
        <w:rFonts w:hint="eastAsia" w:ascii="宋体" w:eastAsia="宋体"/>
        <w:b/>
        <w:i w:val="0"/>
        <w:sz w:val="28"/>
        <w:szCs w:val="28"/>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
    <w:nsid w:val="00000003"/>
    <w:multiLevelType w:val="multilevel"/>
    <w:tmpl w:val="00000003"/>
    <w:lvl w:ilvl="0" w:tentative="0">
      <w:start w:val="1"/>
      <w:numFmt w:val="chineseCountingThousand"/>
      <w:suff w:val="space"/>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05"/>
    <w:multiLevelType w:val="multilevel"/>
    <w:tmpl w:val="00000005"/>
    <w:lvl w:ilvl="0" w:tentative="0">
      <w:start w:val="1"/>
      <w:numFmt w:val="chineseCountingThousand"/>
      <w:suff w:val="space"/>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0000006"/>
    <w:multiLevelType w:val="multilevel"/>
    <w:tmpl w:val="00000006"/>
    <w:lvl w:ilvl="0" w:tentative="0">
      <w:start w:val="1"/>
      <w:numFmt w:val="chineseCountingThousand"/>
      <w:lvlText w:val="第%1条"/>
      <w:lvlJc w:val="left"/>
      <w:pPr>
        <w:ind w:left="980" w:hanging="420"/>
      </w:pPr>
      <w:rPr>
        <w:rFonts w:hint="eastAsia" w:ascii="宋体" w:eastAsia="宋体"/>
        <w:b w:val="0"/>
        <w:bCs/>
        <w:i w:val="0"/>
        <w:sz w:val="28"/>
        <w:szCs w:val="28"/>
        <w:lang w:val="en-US"/>
      </w:rPr>
    </w:lvl>
    <w:lvl w:ilvl="1" w:tentative="0">
      <w:start w:val="1"/>
      <w:numFmt w:val="japaneseCounting"/>
      <w:lvlText w:val="（%2）"/>
      <w:lvlJc w:val="left"/>
      <w:pPr>
        <w:ind w:left="1730" w:hanging="75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07"/>
    <w:multiLevelType w:val="multilevel"/>
    <w:tmpl w:val="00000007"/>
    <w:lvl w:ilvl="0" w:tentative="0">
      <w:start w:val="1"/>
      <w:numFmt w:val="chineseCountingThousand"/>
      <w:suff w:val="space"/>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59597083"/>
    <w:multiLevelType w:val="multilevel"/>
    <w:tmpl w:val="59597083"/>
    <w:lvl w:ilvl="0" w:tentative="0">
      <w:start w:val="1"/>
      <w:numFmt w:val="chineseCountingThousand"/>
      <w:suff w:val="space"/>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4"/>
  </w:num>
  <w:num w:numId="3">
    <w:abstractNumId w:val="0"/>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21D"/>
    <w:rsid w:val="000503D0"/>
    <w:rsid w:val="000C36C3"/>
    <w:rsid w:val="000E57F2"/>
    <w:rsid w:val="001231A5"/>
    <w:rsid w:val="0013431D"/>
    <w:rsid w:val="00146B5C"/>
    <w:rsid w:val="0015625B"/>
    <w:rsid w:val="001B3BE1"/>
    <w:rsid w:val="00253ED8"/>
    <w:rsid w:val="0028578D"/>
    <w:rsid w:val="00296EA5"/>
    <w:rsid w:val="003B6225"/>
    <w:rsid w:val="004B6B64"/>
    <w:rsid w:val="004C06B3"/>
    <w:rsid w:val="004D5730"/>
    <w:rsid w:val="00514099"/>
    <w:rsid w:val="005A6741"/>
    <w:rsid w:val="00655B90"/>
    <w:rsid w:val="006961D0"/>
    <w:rsid w:val="006B7FAE"/>
    <w:rsid w:val="00720943"/>
    <w:rsid w:val="00755E6E"/>
    <w:rsid w:val="00807827"/>
    <w:rsid w:val="0085467C"/>
    <w:rsid w:val="00855BA6"/>
    <w:rsid w:val="00865208"/>
    <w:rsid w:val="0088236B"/>
    <w:rsid w:val="008831C5"/>
    <w:rsid w:val="008A518A"/>
    <w:rsid w:val="008D35E0"/>
    <w:rsid w:val="009370DD"/>
    <w:rsid w:val="009442A0"/>
    <w:rsid w:val="00986EC6"/>
    <w:rsid w:val="00B64117"/>
    <w:rsid w:val="00BB67DB"/>
    <w:rsid w:val="00C1604A"/>
    <w:rsid w:val="00C22C9E"/>
    <w:rsid w:val="00C3343D"/>
    <w:rsid w:val="00D141AF"/>
    <w:rsid w:val="00D877F8"/>
    <w:rsid w:val="00E170C4"/>
    <w:rsid w:val="00E7021D"/>
    <w:rsid w:val="00EC0A1F"/>
    <w:rsid w:val="00EC150A"/>
    <w:rsid w:val="00F039B4"/>
    <w:rsid w:val="00F34E9A"/>
    <w:rsid w:val="04194CC7"/>
    <w:rsid w:val="0BB54DF7"/>
    <w:rsid w:val="14325246"/>
    <w:rsid w:val="1846715A"/>
    <w:rsid w:val="31B65CE6"/>
    <w:rsid w:val="33AD5386"/>
    <w:rsid w:val="371563EC"/>
    <w:rsid w:val="41AB0D28"/>
    <w:rsid w:val="459F5D51"/>
    <w:rsid w:val="462454D1"/>
    <w:rsid w:val="473B202C"/>
    <w:rsid w:val="5C2E3530"/>
    <w:rsid w:val="70F02BAB"/>
    <w:rsid w:val="760509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宋体"/>
      <w:kern w:val="2"/>
      <w:sz w:val="28"/>
      <w:szCs w:val="22"/>
      <w:lang w:val="en-US" w:eastAsia="zh-CN" w:bidi="ar-SA"/>
    </w:rPr>
  </w:style>
  <w:style w:type="paragraph" w:styleId="2">
    <w:name w:val="heading 1"/>
    <w:basedOn w:val="1"/>
    <w:next w:val="1"/>
    <w:link w:val="20"/>
    <w:qFormat/>
    <w:uiPriority w:val="9"/>
    <w:pPr>
      <w:keepNext/>
      <w:keepLines/>
      <w:numPr>
        <w:ilvl w:val="0"/>
        <w:numId w:val="1"/>
      </w:numPr>
      <w:spacing w:before="120" w:after="120"/>
      <w:ind w:left="0" w:firstLine="0" w:firstLineChars="0"/>
      <w:jc w:val="center"/>
      <w:outlineLvl w:val="0"/>
    </w:pPr>
    <w:rPr>
      <w:b/>
      <w:bCs/>
      <w:kern w:val="44"/>
      <w:szCs w:val="44"/>
    </w:rPr>
  </w:style>
  <w:style w:type="paragraph" w:styleId="3">
    <w:name w:val="heading 2"/>
    <w:basedOn w:val="1"/>
    <w:next w:val="1"/>
    <w:link w:val="25"/>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4"/>
    <w:qFormat/>
    <w:uiPriority w:val="99"/>
    <w:rPr>
      <w:rFonts w:ascii="宋体"/>
      <w:sz w:val="24"/>
      <w:szCs w:val="24"/>
    </w:rPr>
  </w:style>
  <w:style w:type="paragraph" w:styleId="5">
    <w:name w:val="annotation text"/>
    <w:basedOn w:val="1"/>
    <w:link w:val="22"/>
    <w:qFormat/>
    <w:uiPriority w:val="99"/>
    <w:pPr>
      <w:jc w:val="left"/>
    </w:pPr>
  </w:style>
  <w:style w:type="paragraph" w:styleId="6">
    <w:name w:val="Balloon Text"/>
    <w:basedOn w:val="1"/>
    <w:link w:val="21"/>
    <w:qFormat/>
    <w:uiPriority w:val="99"/>
    <w:pPr>
      <w:spacing w:line="240" w:lineRule="auto"/>
    </w:pPr>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9"/>
    <w:qFormat/>
    <w:uiPriority w:val="10"/>
    <w:pPr>
      <w:spacing w:before="240" w:after="240"/>
      <w:ind w:firstLine="0" w:firstLineChars="0"/>
      <w:jc w:val="center"/>
      <w:outlineLvl w:val="0"/>
    </w:pPr>
    <w:rPr>
      <w:rFonts w:ascii="Cambria" w:hAnsi="Cambria" w:eastAsia="黑体"/>
      <w:b/>
      <w:bCs/>
      <w:sz w:val="44"/>
      <w:szCs w:val="32"/>
    </w:rPr>
  </w:style>
  <w:style w:type="paragraph" w:styleId="10">
    <w:name w:val="annotation subject"/>
    <w:basedOn w:val="5"/>
    <w:next w:val="5"/>
    <w:link w:val="23"/>
    <w:qFormat/>
    <w:uiPriority w:val="99"/>
    <w:rPr>
      <w:b/>
      <w:bCs/>
    </w:rPr>
  </w:style>
  <w:style w:type="table" w:styleId="12">
    <w:name w:val="Table Grid"/>
    <w:basedOn w:val="11"/>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annotation reference"/>
    <w:basedOn w:val="13"/>
    <w:qFormat/>
    <w:uiPriority w:val="99"/>
    <w:rPr>
      <w:sz w:val="21"/>
      <w:szCs w:val="21"/>
    </w:rPr>
  </w:style>
  <w:style w:type="paragraph" w:customStyle="1" w:styleId="16">
    <w:name w:val="列出段落1"/>
    <w:basedOn w:val="1"/>
    <w:qFormat/>
    <w:uiPriority w:val="34"/>
    <w:pPr>
      <w:ind w:firstLine="420"/>
    </w:pPr>
  </w:style>
  <w:style w:type="character" w:customStyle="1" w:styleId="17">
    <w:name w:val="页眉 Char"/>
    <w:basedOn w:val="13"/>
    <w:link w:val="8"/>
    <w:qFormat/>
    <w:uiPriority w:val="99"/>
    <w:rPr>
      <w:sz w:val="18"/>
      <w:szCs w:val="18"/>
    </w:rPr>
  </w:style>
  <w:style w:type="character" w:customStyle="1" w:styleId="18">
    <w:name w:val="页脚 Char"/>
    <w:basedOn w:val="13"/>
    <w:link w:val="7"/>
    <w:qFormat/>
    <w:uiPriority w:val="99"/>
    <w:rPr>
      <w:sz w:val="18"/>
      <w:szCs w:val="18"/>
    </w:rPr>
  </w:style>
  <w:style w:type="character" w:customStyle="1" w:styleId="19">
    <w:name w:val="标题 Char"/>
    <w:basedOn w:val="13"/>
    <w:link w:val="9"/>
    <w:qFormat/>
    <w:uiPriority w:val="10"/>
    <w:rPr>
      <w:rFonts w:ascii="Cambria" w:hAnsi="Cambria" w:eastAsia="黑体" w:cs="宋体"/>
      <w:b/>
      <w:bCs/>
      <w:kern w:val="2"/>
      <w:sz w:val="44"/>
      <w:szCs w:val="32"/>
    </w:rPr>
  </w:style>
  <w:style w:type="character" w:customStyle="1" w:styleId="20">
    <w:name w:val="标题 1 Char"/>
    <w:basedOn w:val="13"/>
    <w:link w:val="2"/>
    <w:qFormat/>
    <w:uiPriority w:val="9"/>
    <w:rPr>
      <w:b/>
      <w:bCs/>
      <w:kern w:val="44"/>
      <w:sz w:val="28"/>
      <w:szCs w:val="44"/>
    </w:rPr>
  </w:style>
  <w:style w:type="character" w:customStyle="1" w:styleId="21">
    <w:name w:val="批注框文本 Char"/>
    <w:basedOn w:val="13"/>
    <w:link w:val="6"/>
    <w:qFormat/>
    <w:uiPriority w:val="99"/>
    <w:rPr>
      <w:kern w:val="2"/>
      <w:sz w:val="18"/>
      <w:szCs w:val="18"/>
    </w:rPr>
  </w:style>
  <w:style w:type="character" w:customStyle="1" w:styleId="22">
    <w:name w:val="批注文字 Char"/>
    <w:basedOn w:val="13"/>
    <w:link w:val="5"/>
    <w:qFormat/>
    <w:uiPriority w:val="99"/>
    <w:rPr>
      <w:kern w:val="2"/>
      <w:sz w:val="28"/>
      <w:szCs w:val="22"/>
    </w:rPr>
  </w:style>
  <w:style w:type="character" w:customStyle="1" w:styleId="23">
    <w:name w:val="批注主题 Char"/>
    <w:basedOn w:val="22"/>
    <w:link w:val="10"/>
    <w:qFormat/>
    <w:uiPriority w:val="99"/>
    <w:rPr>
      <w:b/>
      <w:bCs/>
      <w:kern w:val="2"/>
      <w:sz w:val="28"/>
      <w:szCs w:val="22"/>
    </w:rPr>
  </w:style>
  <w:style w:type="character" w:customStyle="1" w:styleId="24">
    <w:name w:val="文档结构图 Char"/>
    <w:basedOn w:val="13"/>
    <w:link w:val="4"/>
    <w:qFormat/>
    <w:uiPriority w:val="99"/>
    <w:rPr>
      <w:rFonts w:ascii="宋体" w:eastAsia="宋体"/>
      <w:kern w:val="2"/>
      <w:sz w:val="24"/>
      <w:szCs w:val="24"/>
    </w:rPr>
  </w:style>
  <w:style w:type="character" w:customStyle="1" w:styleId="25">
    <w:name w:val="标题 2 Char"/>
    <w:basedOn w:val="13"/>
    <w:link w:val="3"/>
    <w:qFormat/>
    <w:uiPriority w:val="9"/>
    <w:rPr>
      <w:rFonts w:ascii="Cambria" w:hAnsi="Cambria" w:eastAsia="宋体" w:cs="宋体"/>
      <w:b/>
      <w:bCs/>
      <w:kern w:val="2"/>
      <w:sz w:val="32"/>
      <w:szCs w:val="32"/>
    </w:rPr>
  </w:style>
  <w:style w:type="paragraph" w:styleId="26">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489</Words>
  <Characters>2792</Characters>
  <Lines>23</Lines>
  <Paragraphs>6</Paragraphs>
  <TotalTime>1</TotalTime>
  <ScaleCrop>false</ScaleCrop>
  <LinksUpToDate>false</LinksUpToDate>
  <CharactersWithSpaces>3275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2020-12-28T04:38:00Z</dcterms:created>
  <dc:creator>xb21cn</dc:creator>
  <cp:lastModifiedBy>陈斯敏</cp:lastModifiedBy>
  <cp:lastPrinted>2021-01-25T03:00:00Z</cp:lastPrinted>
  <dcterms:modified xsi:type="dcterms:W3CDTF">2021-12-22T06:30:28Z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58E8BBC5E7314187B310302105262624</vt:lpwstr>
  </property>
</Properties>
</file>