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20" w:lineRule="exact"/>
        <w:ind w:firstLine="0" w:firstLineChars="0"/>
        <w:jc w:val="left"/>
        <w:rPr>
          <w:rFonts w:hint="eastAsia" w:ascii="黑体" w:hAnsi="黑体" w:eastAsia="黑体" w:cs="黑体"/>
          <w:sz w:val="32"/>
          <w:szCs w:val="20"/>
          <w:lang w:val="en-US" w:eastAsia="zh-CN"/>
        </w:rPr>
      </w:pPr>
      <w:r>
        <w:rPr>
          <w:rFonts w:hint="eastAsia" w:ascii="黑体" w:hAnsi="黑体" w:eastAsia="黑体" w:cs="黑体"/>
          <w:sz w:val="32"/>
          <w:szCs w:val="20"/>
        </w:rPr>
        <w:t>附件</w:t>
      </w:r>
      <w:r>
        <w:rPr>
          <w:rFonts w:hint="eastAsia" w:ascii="黑体" w:hAnsi="黑体" w:eastAsia="黑体" w:cs="黑体"/>
          <w:sz w:val="32"/>
          <w:szCs w:val="20"/>
          <w:lang w:val="en-US" w:eastAsia="zh-CN"/>
        </w:rPr>
        <w:t>3</w:t>
      </w:r>
    </w:p>
    <w:p>
      <w:pPr>
        <w:wordWrap w:val="0"/>
        <w:spacing w:line="560" w:lineRule="atLeast"/>
        <w:ind w:firstLine="0" w:firstLineChars="0"/>
        <w:rPr>
          <w:rFonts w:ascii="黑体" w:hAnsi="黑体" w:eastAsia="黑体" w:cs="黑体"/>
          <w:sz w:val="32"/>
          <w:szCs w:val="32"/>
        </w:rPr>
      </w:pPr>
    </w:p>
    <w:p>
      <w:pPr>
        <w:wordWrap w:val="0"/>
        <w:spacing w:line="360" w:lineRule="auto"/>
        <w:ind w:firstLine="0" w:firstLineChars="0"/>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合同编号：</w:t>
      </w:r>
    </w:p>
    <w:p>
      <w:pPr>
        <w:wordWrap w:val="0"/>
        <w:spacing w:line="360" w:lineRule="auto"/>
        <w:ind w:firstLine="0" w:firstLineChars="0"/>
        <w:jc w:val="center"/>
        <w:rPr>
          <w:rFonts w:ascii="仿宋_GB2312" w:hAnsi="仿宋_GB2312" w:eastAsia="仿宋_GB2312" w:cs="仿宋_GB2312"/>
          <w:sz w:val="28"/>
          <w:szCs w:val="36"/>
        </w:rPr>
      </w:pPr>
    </w:p>
    <w:p>
      <w:pPr>
        <w:wordWrap w:val="0"/>
        <w:spacing w:line="360" w:lineRule="auto"/>
        <w:ind w:firstLine="0" w:firstLineChars="0"/>
        <w:jc w:val="center"/>
        <w:rPr>
          <w:rFonts w:ascii="仿宋_GB2312" w:hAnsi="仿宋_GB2312" w:eastAsia="仿宋_GB2312" w:cs="仿宋_GB2312"/>
          <w:sz w:val="28"/>
          <w:szCs w:val="36"/>
        </w:rPr>
      </w:pPr>
    </w:p>
    <w:p>
      <w:pPr>
        <w:wordWrap w:val="0"/>
        <w:spacing w:line="360" w:lineRule="auto"/>
        <w:ind w:firstLine="0" w:firstLineChars="0"/>
        <w:jc w:val="center"/>
        <w:rPr>
          <w:rFonts w:ascii="仿宋_GB2312" w:hAnsi="仿宋_GB2312" w:eastAsia="仿宋_GB2312" w:cs="仿宋_GB2312"/>
          <w:sz w:val="28"/>
          <w:szCs w:val="36"/>
        </w:rPr>
      </w:pPr>
    </w:p>
    <w:p>
      <w:pPr>
        <w:wordWrap w:val="0"/>
        <w:spacing w:line="360" w:lineRule="auto"/>
        <w:ind w:firstLine="0" w:firstLineChars="0"/>
        <w:jc w:val="center"/>
        <w:rPr>
          <w:rFonts w:ascii="创艺简标宋" w:hAnsi="创艺简标宋" w:eastAsia="创艺简标宋" w:cs="创艺简标宋"/>
          <w:sz w:val="52"/>
          <w:szCs w:val="72"/>
        </w:rPr>
      </w:pPr>
      <w:r>
        <w:rPr>
          <w:rFonts w:hint="eastAsia" w:ascii="创艺简标宋" w:hAnsi="创艺简标宋" w:eastAsia="创艺简标宋" w:cs="创艺简标宋"/>
          <w:sz w:val="52"/>
          <w:szCs w:val="72"/>
        </w:rPr>
        <w:t>采矿权出让合同</w:t>
      </w:r>
    </w:p>
    <w:p>
      <w:pPr>
        <w:wordWrap w:val="0"/>
        <w:spacing w:line="500" w:lineRule="exact"/>
        <w:ind w:firstLine="0" w:firstLineChars="0"/>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val="en-US" w:eastAsia="zh-CN"/>
        </w:rPr>
        <w:t>样本</w:t>
      </w:r>
      <w:r>
        <w:rPr>
          <w:rFonts w:hint="eastAsia" w:ascii="仿宋_GB2312" w:hAnsi="仿宋_GB2312" w:eastAsia="仿宋_GB2312" w:cs="仿宋_GB2312"/>
          <w:sz w:val="28"/>
          <w:szCs w:val="36"/>
        </w:rPr>
        <w:t>）</w:t>
      </w:r>
    </w:p>
    <w:p>
      <w:pPr>
        <w:wordWrap w:val="0"/>
        <w:spacing w:line="500" w:lineRule="exact"/>
        <w:ind w:firstLine="0" w:firstLineChars="0"/>
        <w:jc w:val="center"/>
        <w:rPr>
          <w:rFonts w:ascii="仿宋_GB2312" w:hAnsi="仿宋_GB2312" w:eastAsia="仿宋_GB2312" w:cs="仿宋_GB2312"/>
          <w:sz w:val="28"/>
          <w:szCs w:val="36"/>
        </w:rPr>
      </w:pPr>
    </w:p>
    <w:p>
      <w:pPr>
        <w:wordWrap w:val="0"/>
        <w:spacing w:line="500" w:lineRule="exact"/>
        <w:ind w:firstLine="0" w:firstLineChars="0"/>
        <w:jc w:val="center"/>
        <w:rPr>
          <w:rFonts w:ascii="仿宋_GB2312" w:hAnsi="仿宋_GB2312" w:eastAsia="仿宋_GB2312" w:cs="仿宋_GB2312"/>
          <w:sz w:val="28"/>
          <w:szCs w:val="36"/>
        </w:rPr>
      </w:pPr>
    </w:p>
    <w:p>
      <w:pPr>
        <w:wordWrap w:val="0"/>
        <w:spacing w:line="500" w:lineRule="exact"/>
        <w:ind w:firstLine="1058" w:firstLineChars="378"/>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甲方（出让人）：</w:t>
      </w:r>
      <w:r>
        <w:rPr>
          <w:rFonts w:hint="eastAsia" w:ascii="Calibri" w:hAnsi="Calibri" w:eastAsia="仿宋" w:cs="宋体"/>
          <w:kern w:val="21"/>
          <w:sz w:val="28"/>
          <w:szCs w:val="48"/>
          <w:u w:val="single"/>
        </w:rPr>
        <w:t>惠州市国土局大亚湾经济技术开发区分局</w:t>
      </w:r>
    </w:p>
    <w:p>
      <w:pPr>
        <w:wordWrap w:val="0"/>
        <w:spacing w:line="500" w:lineRule="exact"/>
        <w:ind w:firstLine="1058" w:firstLineChars="378"/>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场      所：</w:t>
      </w:r>
    </w:p>
    <w:p>
      <w:pPr>
        <w:wordWrap w:val="0"/>
        <w:spacing w:line="500" w:lineRule="exact"/>
        <w:ind w:firstLine="1058" w:firstLineChars="378"/>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法定代表人：</w:t>
      </w:r>
    </w:p>
    <w:p>
      <w:pPr>
        <w:wordWrap w:val="0"/>
        <w:spacing w:line="500" w:lineRule="exact"/>
        <w:ind w:firstLine="1058" w:firstLineChars="378"/>
        <w:jc w:val="left"/>
        <w:rPr>
          <w:rFonts w:ascii="仿宋_GB2312" w:hAnsi="仿宋_GB2312" w:eastAsia="仿宋_GB2312" w:cs="仿宋_GB2312"/>
          <w:sz w:val="28"/>
          <w:szCs w:val="36"/>
        </w:rPr>
      </w:pPr>
    </w:p>
    <w:p>
      <w:pPr>
        <w:wordWrap w:val="0"/>
        <w:spacing w:line="500" w:lineRule="exact"/>
        <w:ind w:firstLine="1058" w:firstLineChars="378"/>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乙方（受让人）：</w:t>
      </w:r>
    </w:p>
    <w:p>
      <w:pPr>
        <w:wordWrap w:val="0"/>
        <w:spacing w:line="500" w:lineRule="exact"/>
        <w:ind w:firstLine="1058" w:firstLineChars="378"/>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场      所：</w:t>
      </w:r>
    </w:p>
    <w:p>
      <w:pPr>
        <w:wordWrap w:val="0"/>
        <w:spacing w:line="500" w:lineRule="exact"/>
        <w:ind w:firstLine="1058" w:firstLineChars="378"/>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法定代表人：</w:t>
      </w:r>
    </w:p>
    <w:p>
      <w:pPr>
        <w:wordWrap w:val="0"/>
        <w:spacing w:line="500" w:lineRule="exact"/>
        <w:ind w:firstLine="1058" w:firstLineChars="378"/>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统一社会信用代码：</w:t>
      </w:r>
    </w:p>
    <w:p>
      <w:pPr>
        <w:wordWrap w:val="0"/>
        <w:spacing w:line="500" w:lineRule="exact"/>
        <w:ind w:firstLine="0" w:firstLineChars="0"/>
        <w:jc w:val="center"/>
        <w:rPr>
          <w:rFonts w:ascii="仿宋_GB2312" w:hAnsi="仿宋_GB2312" w:eastAsia="仿宋_GB2312" w:cs="仿宋_GB2312"/>
          <w:sz w:val="28"/>
          <w:szCs w:val="36"/>
        </w:rPr>
      </w:pPr>
    </w:p>
    <w:p>
      <w:pPr>
        <w:spacing w:line="500" w:lineRule="exact"/>
        <w:ind w:firstLine="881"/>
        <w:jc w:val="center"/>
        <w:rPr>
          <w:rFonts w:ascii="创艺简标宋" w:hAnsi="创艺简标宋" w:eastAsia="创艺简标宋" w:cs="创艺简标宋"/>
          <w:b/>
          <w:bCs/>
          <w:sz w:val="44"/>
          <w:szCs w:val="52"/>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r>
        <w:rPr>
          <w:rFonts w:hint="eastAsia" w:ascii="仿宋_GB2312" w:hAnsi="仿宋_GB2312" w:eastAsia="仿宋_GB2312" w:cs="仿宋_GB2312"/>
          <w:kern w:val="21"/>
          <w:sz w:val="28"/>
          <w:szCs w:val="28"/>
        </w:rPr>
        <w:t>根据《中华人民共和国矿产资源法》《中华人民共和国民法典》《矿产资源开采登记管理办法》《矿业权出让收益征收管理暂行办法》《矿业权出让制度改革方案》《关于完善矿产资源开采审批登记管理有关事项的通知》</w:t>
      </w:r>
      <w:r>
        <w:rPr>
          <w:rFonts w:hint="eastAsia" w:ascii="仿宋_GB2312" w:hAnsi="仿宋_GB2312" w:eastAsia="仿宋_GB2312" w:cs="仿宋_GB2312"/>
          <w:sz w:val="28"/>
          <w:szCs w:val="36"/>
        </w:rPr>
        <w:t>《关于推进矿产资源管理改革若干事项的意见（试行）》</w:t>
      </w:r>
      <w:r>
        <w:rPr>
          <w:rFonts w:hint="eastAsia" w:ascii="仿宋_GB2312" w:hAnsi="仿宋_GB2312" w:eastAsia="仿宋_GB2312" w:cs="仿宋_GB2312"/>
          <w:kern w:val="21"/>
          <w:sz w:val="28"/>
          <w:szCs w:val="28"/>
        </w:rPr>
        <w:t>《矿业权交易规则》等相关规定，甲乙双方经协商一致订立本合同。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黑体" w:hAnsi="黑体" w:eastAsia="黑体" w:cs="黑体"/>
          <w:sz w:val="28"/>
          <w:szCs w:val="36"/>
        </w:rPr>
        <w:t xml:space="preserve">第一条 </w:t>
      </w:r>
      <w:r>
        <w:rPr>
          <w:rFonts w:hint="eastAsia" w:ascii="仿宋_GB2312" w:hAnsi="仿宋_GB2312" w:eastAsia="仿宋_GB2312" w:cs="仿宋_GB2312"/>
          <w:kern w:val="21"/>
          <w:sz w:val="28"/>
          <w:szCs w:val="28"/>
        </w:rPr>
        <w:t>采矿权基本情况</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r>
        <w:rPr>
          <w:rFonts w:hint="eastAsia" w:ascii="仿宋_GB2312" w:hAnsi="仿宋_GB2312" w:eastAsia="仿宋_GB2312" w:cs="仿宋_GB2312"/>
          <w:kern w:val="21"/>
          <w:sz w:val="28"/>
          <w:szCs w:val="28"/>
        </w:rPr>
        <w:t>（一）名称：惠州市大亚湾区霞涌晓联建筑用花岗岩矿采矿权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1"/>
          <w:sz w:val="28"/>
          <w:szCs w:val="28"/>
        </w:rPr>
      </w:pPr>
      <w:r>
        <w:rPr>
          <w:rFonts w:hint="eastAsia" w:ascii="仿宋_GB2312" w:hAnsi="仿宋_GB2312" w:eastAsia="仿宋_GB2312" w:cs="仿宋_GB2312"/>
          <w:kern w:val="21"/>
          <w:sz w:val="28"/>
          <w:szCs w:val="28"/>
        </w:rPr>
        <w:t>（二）位置：矿区位于惠阳区82°方向直距约24km的晓联径西村北侧山体处，行政区划隶属霞涌街道办晓联村管辖。矿区中心地理坐标为：东经114°40′45″、北纬22°49′15″，范围共由7个拐点坐标组成（表1）。</w:t>
      </w:r>
    </w:p>
    <w:p>
      <w:pPr>
        <w:wordWrap w:val="0"/>
        <w:spacing w:line="500" w:lineRule="exact"/>
        <w:ind w:firstLine="480" w:firstLineChars="200"/>
        <w:jc w:val="center"/>
        <w:rPr>
          <w:rFonts w:ascii="仿宋" w:hAnsi="仿宋" w:eastAsia="仿宋" w:cs="仿宋_GB2312"/>
          <w:sz w:val="24"/>
        </w:rPr>
      </w:pPr>
      <w:r>
        <w:rPr>
          <w:rFonts w:hint="eastAsia" w:ascii="黑体" w:hAnsi="黑体" w:eastAsia="黑体" w:cs="黑体"/>
          <w:sz w:val="24"/>
        </w:rPr>
        <w:t>表1 晓联径西村矿区范围拐点坐标（2000国家大地坐标系）</w:t>
      </w:r>
    </w:p>
    <w:tbl>
      <w:tblPr>
        <w:tblStyle w:val="4"/>
        <w:tblW w:w="7807" w:type="dxa"/>
        <w:jc w:val="center"/>
        <w:tblLayout w:type="autofit"/>
        <w:tblCellMar>
          <w:top w:w="0" w:type="dxa"/>
          <w:left w:w="108" w:type="dxa"/>
          <w:bottom w:w="0" w:type="dxa"/>
          <w:right w:w="108" w:type="dxa"/>
        </w:tblCellMar>
      </w:tblPr>
      <w:tblGrid>
        <w:gridCol w:w="1549"/>
        <w:gridCol w:w="3129"/>
        <w:gridCol w:w="3129"/>
      </w:tblGrid>
      <w:tr>
        <w:tblPrEx>
          <w:tblCellMar>
            <w:top w:w="0" w:type="dxa"/>
            <w:left w:w="108" w:type="dxa"/>
            <w:bottom w:w="0" w:type="dxa"/>
            <w:right w:w="108" w:type="dxa"/>
          </w:tblCellMar>
        </w:tblPrEx>
        <w:trPr>
          <w:trHeight w:val="270" w:hRule="atLeast"/>
          <w:jc w:val="center"/>
        </w:trPr>
        <w:tc>
          <w:tcPr>
            <w:tcW w:w="1549" w:type="dxa"/>
            <w:tcBorders>
              <w:top w:val="single" w:color="auto" w:sz="4" w:space="0"/>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拐点</w:t>
            </w:r>
          </w:p>
        </w:tc>
        <w:tc>
          <w:tcPr>
            <w:tcW w:w="3129" w:type="dxa"/>
            <w:tcBorders>
              <w:top w:val="single" w:color="auto" w:sz="4" w:space="0"/>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X</w:t>
            </w:r>
          </w:p>
        </w:tc>
        <w:tc>
          <w:tcPr>
            <w:tcW w:w="3129" w:type="dxa"/>
            <w:tcBorders>
              <w:top w:val="single" w:color="auto" w:sz="4" w:space="0"/>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Y</w:t>
            </w:r>
          </w:p>
        </w:tc>
      </w:tr>
      <w:tr>
        <w:tblPrEx>
          <w:tblCellMar>
            <w:top w:w="0" w:type="dxa"/>
            <w:left w:w="108" w:type="dxa"/>
            <w:bottom w:w="0" w:type="dxa"/>
            <w:right w:w="108" w:type="dxa"/>
          </w:tblCellMar>
        </w:tblPrEx>
        <w:trPr>
          <w:trHeight w:val="270" w:hRule="atLeast"/>
          <w:jc w:val="center"/>
        </w:trPr>
        <w:tc>
          <w:tcPr>
            <w:tcW w:w="1549" w:type="dxa"/>
            <w:tcBorders>
              <w:top w:val="nil"/>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J1</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2525596.31 </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569840.73 </w:t>
            </w:r>
          </w:p>
        </w:tc>
      </w:tr>
      <w:tr>
        <w:tblPrEx>
          <w:tblCellMar>
            <w:top w:w="0" w:type="dxa"/>
            <w:left w:w="108" w:type="dxa"/>
            <w:bottom w:w="0" w:type="dxa"/>
            <w:right w:w="108" w:type="dxa"/>
          </w:tblCellMar>
        </w:tblPrEx>
        <w:trPr>
          <w:trHeight w:val="270" w:hRule="atLeast"/>
          <w:jc w:val="center"/>
        </w:trPr>
        <w:tc>
          <w:tcPr>
            <w:tcW w:w="1549" w:type="dxa"/>
            <w:tcBorders>
              <w:top w:val="nil"/>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J2</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2525788.63 </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570294.10 </w:t>
            </w:r>
          </w:p>
        </w:tc>
      </w:tr>
      <w:tr>
        <w:tblPrEx>
          <w:tblCellMar>
            <w:top w:w="0" w:type="dxa"/>
            <w:left w:w="108" w:type="dxa"/>
            <w:bottom w:w="0" w:type="dxa"/>
            <w:right w:w="108" w:type="dxa"/>
          </w:tblCellMar>
        </w:tblPrEx>
        <w:trPr>
          <w:trHeight w:val="270" w:hRule="atLeast"/>
          <w:jc w:val="center"/>
        </w:trPr>
        <w:tc>
          <w:tcPr>
            <w:tcW w:w="1549" w:type="dxa"/>
            <w:tcBorders>
              <w:top w:val="nil"/>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J3</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2524776.44 </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570743.11 </w:t>
            </w:r>
          </w:p>
        </w:tc>
      </w:tr>
      <w:tr>
        <w:tblPrEx>
          <w:tblCellMar>
            <w:top w:w="0" w:type="dxa"/>
            <w:left w:w="108" w:type="dxa"/>
            <w:bottom w:w="0" w:type="dxa"/>
            <w:right w:w="108" w:type="dxa"/>
          </w:tblCellMar>
        </w:tblPrEx>
        <w:trPr>
          <w:trHeight w:val="270" w:hRule="atLeast"/>
          <w:jc w:val="center"/>
        </w:trPr>
        <w:tc>
          <w:tcPr>
            <w:tcW w:w="1549" w:type="dxa"/>
            <w:tcBorders>
              <w:top w:val="nil"/>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J4</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2524366.91 </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571069.04 </w:t>
            </w:r>
          </w:p>
        </w:tc>
      </w:tr>
      <w:tr>
        <w:tblPrEx>
          <w:tblCellMar>
            <w:top w:w="0" w:type="dxa"/>
            <w:left w:w="108" w:type="dxa"/>
            <w:bottom w:w="0" w:type="dxa"/>
            <w:right w:w="108" w:type="dxa"/>
          </w:tblCellMar>
        </w:tblPrEx>
        <w:trPr>
          <w:trHeight w:val="270" w:hRule="atLeast"/>
          <w:jc w:val="center"/>
        </w:trPr>
        <w:tc>
          <w:tcPr>
            <w:tcW w:w="1549" w:type="dxa"/>
            <w:tcBorders>
              <w:top w:val="nil"/>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J5</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2524115.83 </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570808.64 </w:t>
            </w:r>
          </w:p>
        </w:tc>
      </w:tr>
      <w:tr>
        <w:tblPrEx>
          <w:tblCellMar>
            <w:top w:w="0" w:type="dxa"/>
            <w:left w:w="108" w:type="dxa"/>
            <w:bottom w:w="0" w:type="dxa"/>
            <w:right w:w="108" w:type="dxa"/>
          </w:tblCellMar>
        </w:tblPrEx>
        <w:trPr>
          <w:trHeight w:val="270" w:hRule="atLeast"/>
          <w:jc w:val="center"/>
        </w:trPr>
        <w:tc>
          <w:tcPr>
            <w:tcW w:w="1549" w:type="dxa"/>
            <w:tcBorders>
              <w:top w:val="nil"/>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J6</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2524611.00 </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569867.64 </w:t>
            </w:r>
          </w:p>
        </w:tc>
      </w:tr>
      <w:tr>
        <w:tblPrEx>
          <w:tblCellMar>
            <w:top w:w="0" w:type="dxa"/>
            <w:left w:w="108" w:type="dxa"/>
            <w:bottom w:w="0" w:type="dxa"/>
            <w:right w:w="108" w:type="dxa"/>
          </w:tblCellMar>
        </w:tblPrEx>
        <w:trPr>
          <w:trHeight w:val="270" w:hRule="atLeast"/>
          <w:jc w:val="center"/>
        </w:trPr>
        <w:tc>
          <w:tcPr>
            <w:tcW w:w="1549" w:type="dxa"/>
            <w:tcBorders>
              <w:top w:val="nil"/>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J7</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2525226.70 </w:t>
            </w:r>
          </w:p>
        </w:tc>
        <w:tc>
          <w:tcPr>
            <w:tcW w:w="3129" w:type="dxa"/>
            <w:tcBorders>
              <w:top w:val="nil"/>
              <w:left w:val="nil"/>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569632.10 </w:t>
            </w:r>
          </w:p>
        </w:tc>
      </w:tr>
      <w:tr>
        <w:tblPrEx>
          <w:tblCellMar>
            <w:top w:w="0" w:type="dxa"/>
            <w:left w:w="108" w:type="dxa"/>
            <w:bottom w:w="0" w:type="dxa"/>
            <w:right w:w="108" w:type="dxa"/>
          </w:tblCellMar>
        </w:tblPrEx>
        <w:trPr>
          <w:trHeight w:val="315" w:hRule="atLeast"/>
          <w:jc w:val="center"/>
        </w:trPr>
        <w:tc>
          <w:tcPr>
            <w:tcW w:w="7807" w:type="dxa"/>
            <w:gridSpan w:val="3"/>
            <w:tcBorders>
              <w:top w:val="single" w:color="auto" w:sz="4" w:space="0"/>
              <w:left w:val="single" w:color="auto" w:sz="4" w:space="0"/>
              <w:bottom w:val="single" w:color="auto" w:sz="4" w:space="0"/>
              <w:right w:val="single" w:color="auto" w:sz="4" w:space="0"/>
            </w:tcBorders>
            <w:noWrap/>
            <w:vAlign w:val="center"/>
          </w:tcPr>
          <w:p>
            <w:pPr>
              <w:wordWrap w:val="0"/>
              <w:spacing w:line="500" w:lineRule="exact"/>
              <w:ind w:firstLine="0" w:firstLineChars="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面积1.2027km</w:t>
            </w:r>
            <w:r>
              <w:rPr>
                <w:rFonts w:hint="eastAsia" w:ascii="仿宋_GB2312" w:hAnsi="仿宋_GB2312" w:eastAsia="仿宋_GB2312" w:cs="仿宋_GB2312"/>
                <w:kern w:val="0"/>
                <w:sz w:val="24"/>
                <w:vertAlign w:val="superscript"/>
              </w:rPr>
              <w:t>2</w:t>
            </w:r>
            <w:r>
              <w:rPr>
                <w:rFonts w:hint="eastAsia" w:ascii="仿宋_GB2312" w:hAnsi="仿宋_GB2312" w:eastAsia="仿宋_GB2312" w:cs="仿宋_GB2312"/>
                <w:kern w:val="0"/>
                <w:sz w:val="24"/>
              </w:rPr>
              <w:t>，开采标高+368</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50m。</w:t>
            </w:r>
          </w:p>
        </w:tc>
      </w:tr>
    </w:tbl>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（三）面积：1.2027平方公里；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（四）开采标高：+368～+50m；</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（五）主要矿种：建筑用花岗岩；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（六）开采规模：360万立方米/年；</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（七）开采方式：露天开采；</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（八）出让资源储量：矿区范围内建筑用花岗岩矿确定可采建筑用花岗岩矿资源储量9411.61万立方米，全－强风化花岗岩（建设用砂）资源储量220.50万立方米，共计9632.11万立方米。</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黑体" w:hAnsi="黑体" w:eastAsia="黑体" w:cs="黑体"/>
          <w:sz w:val="28"/>
          <w:szCs w:val="36"/>
        </w:rPr>
        <w:t xml:space="preserve">第二条 </w:t>
      </w:r>
      <w:r>
        <w:rPr>
          <w:rFonts w:hint="eastAsia" w:ascii="仿宋_GB2312" w:hAnsi="仿宋_GB2312" w:eastAsia="仿宋_GB2312" w:cs="仿宋_GB2312"/>
          <w:kern w:val="2"/>
          <w:sz w:val="28"/>
          <w:szCs w:val="36"/>
        </w:rPr>
        <w:t>出让方式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 w:hAnsi="仿宋" w:eastAsia="仿宋" w:cs="仿宋_GB2312"/>
          <w:sz w:val="28"/>
          <w:szCs w:val="36"/>
        </w:rPr>
      </w:pPr>
      <w:r>
        <w:rPr>
          <w:rFonts w:hint="eastAsia" w:ascii="仿宋_GB2312" w:hAnsi="仿宋_GB2312" w:eastAsia="仿宋_GB2312" w:cs="仿宋_GB2312"/>
          <w:sz w:val="28"/>
          <w:szCs w:val="36"/>
        </w:rPr>
        <w:t>（一）采矿权以</w:t>
      </w:r>
      <w:r>
        <w:rPr>
          <w:rFonts w:hint="eastAsia" w:ascii="仿宋" w:hAnsi="仿宋" w:eastAsia="仿宋" w:cs="仿宋_GB2312"/>
          <w:sz w:val="28"/>
          <w:szCs w:val="36"/>
          <w:u w:val="single"/>
        </w:rPr>
        <w:t xml:space="preserve"> </w:t>
      </w:r>
      <w:r>
        <w:rPr>
          <w:rFonts w:hint="eastAsia" w:ascii="仿宋_GB2312" w:hAnsi="仿宋_GB2312" w:eastAsia="仿宋_GB2312" w:cs="仿宋_GB2312"/>
          <w:sz w:val="28"/>
          <w:szCs w:val="36"/>
          <w:u w:val="single"/>
        </w:rPr>
        <w:t xml:space="preserve"> 挂牌</w:t>
      </w:r>
      <w:r>
        <w:rPr>
          <w:rFonts w:hint="eastAsia" w:ascii="仿宋" w:hAnsi="仿宋" w:eastAsia="仿宋" w:cs="仿宋_GB2312"/>
          <w:sz w:val="28"/>
          <w:szCs w:val="36"/>
          <w:u w:val="single"/>
        </w:rPr>
        <w:t xml:space="preserve">  </w:t>
      </w:r>
      <w:r>
        <w:rPr>
          <w:rFonts w:hint="eastAsia" w:ascii="仿宋_GB2312" w:hAnsi="仿宋_GB2312" w:eastAsia="仿宋_GB2312" w:cs="仿宋_GB2312"/>
          <w:sz w:val="28"/>
          <w:szCs w:val="36"/>
        </w:rPr>
        <w:t>方式出让。</w:t>
      </w:r>
      <w:r>
        <w:rPr>
          <w:rFonts w:ascii="仿宋" w:hAnsi="仿宋" w:eastAsia="仿宋" w:cs="仿宋_GB2312"/>
          <w:sz w:val="28"/>
          <w:szCs w:val="36"/>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21"/>
          <w:sz w:val="28"/>
          <w:szCs w:val="28"/>
          <w:u w:val="single"/>
        </w:rPr>
      </w:pPr>
      <w:r>
        <w:rPr>
          <w:rFonts w:hint="eastAsia" w:ascii="仿宋_GB2312" w:hAnsi="仿宋_GB2312" w:eastAsia="仿宋_GB2312" w:cs="仿宋_GB2312"/>
          <w:sz w:val="28"/>
          <w:szCs w:val="36"/>
        </w:rPr>
        <w:t>（二）实施</w:t>
      </w:r>
      <w:r>
        <w:rPr>
          <w:rFonts w:hint="eastAsia" w:ascii="仿宋" w:hAnsi="仿宋" w:eastAsia="仿宋" w:cs="仿宋_GB2312"/>
          <w:sz w:val="28"/>
          <w:szCs w:val="36"/>
          <w:u w:val="single"/>
        </w:rPr>
        <w:t xml:space="preserve">  </w:t>
      </w:r>
      <w:r>
        <w:rPr>
          <w:rFonts w:hint="eastAsia" w:ascii="仿宋_GB2312" w:hAnsi="仿宋_GB2312" w:eastAsia="仿宋_GB2312" w:cs="仿宋_GB2312"/>
          <w:sz w:val="28"/>
          <w:szCs w:val="36"/>
          <w:u w:val="single"/>
        </w:rPr>
        <w:t xml:space="preserve">挂牌 </w:t>
      </w:r>
      <w:r>
        <w:rPr>
          <w:rFonts w:hint="eastAsia" w:ascii="仿宋" w:hAnsi="仿宋" w:eastAsia="仿宋" w:cs="仿宋_GB2312"/>
          <w:sz w:val="28"/>
          <w:szCs w:val="36"/>
          <w:u w:val="single"/>
        </w:rPr>
        <w:t xml:space="preserve"> </w:t>
      </w:r>
      <w:r>
        <w:rPr>
          <w:rFonts w:hint="eastAsia" w:ascii="仿宋_GB2312" w:hAnsi="仿宋_GB2312" w:eastAsia="仿宋_GB2312" w:cs="仿宋_GB2312"/>
          <w:sz w:val="28"/>
          <w:szCs w:val="36"/>
        </w:rPr>
        <w:t>出让的矿业权交易平台：</w:t>
      </w:r>
      <w:r>
        <w:rPr>
          <w:rFonts w:hint="eastAsia" w:ascii="仿宋_GB2312" w:hAnsi="仿宋_GB2312" w:eastAsia="仿宋_GB2312" w:cs="仿宋_GB2312"/>
          <w:bCs/>
          <w:kern w:val="21"/>
          <w:sz w:val="28"/>
          <w:szCs w:val="28"/>
          <w:u w:val="single"/>
        </w:rPr>
        <w:t>惠州市公共资源交易中心大亚湾区分中心.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场所：</w:t>
      </w:r>
      <w:r>
        <w:rPr>
          <w:rFonts w:hint="eastAsia" w:ascii="仿宋_GB2312" w:hAnsi="仿宋_GB2312" w:eastAsia="仿宋_GB2312" w:cs="仿宋_GB2312"/>
          <w:kern w:val="2"/>
          <w:sz w:val="28"/>
          <w:szCs w:val="36"/>
        </w:rPr>
        <w:t>惠州市惠阳区石化大道中大亚湾区科技创新园创新大厦</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黑体" w:hAnsi="黑体" w:eastAsia="黑体" w:cs="黑体"/>
          <w:sz w:val="28"/>
          <w:szCs w:val="36"/>
        </w:rPr>
      </w:pPr>
      <w:r>
        <w:rPr>
          <w:rFonts w:hint="eastAsia" w:ascii="黑体" w:hAnsi="黑体" w:eastAsia="黑体" w:cs="黑体"/>
          <w:sz w:val="28"/>
          <w:szCs w:val="36"/>
        </w:rPr>
        <w:t xml:space="preserve">第三条 </w:t>
      </w:r>
      <w:r>
        <w:rPr>
          <w:rFonts w:hint="eastAsia" w:ascii="仿宋_GB2312" w:hAnsi="仿宋_GB2312" w:eastAsia="仿宋_GB2312" w:cs="仿宋_GB2312"/>
          <w:kern w:val="2"/>
          <w:sz w:val="28"/>
          <w:szCs w:val="36"/>
        </w:rPr>
        <w:t>出让年限</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 w:hAnsi="仿宋" w:eastAsia="仿宋" w:cs="仿宋_GB2312"/>
          <w:sz w:val="28"/>
          <w:szCs w:val="36"/>
        </w:rPr>
      </w:pPr>
      <w:r>
        <w:rPr>
          <w:rFonts w:hint="eastAsia" w:ascii="仿宋_GB2312" w:hAnsi="仿宋_GB2312" w:eastAsia="仿宋_GB2312" w:cs="仿宋_GB2312"/>
          <w:sz w:val="28"/>
          <w:szCs w:val="36"/>
        </w:rPr>
        <w:t>采矿权出让年限为</w:t>
      </w:r>
      <w:r>
        <w:rPr>
          <w:rFonts w:hint="eastAsia" w:ascii="仿宋" w:hAnsi="仿宋" w:eastAsia="仿宋" w:cs="仿宋_GB2312"/>
          <w:sz w:val="28"/>
          <w:szCs w:val="36"/>
          <w:u w:val="single"/>
        </w:rPr>
        <w:t xml:space="preserve"> </w:t>
      </w:r>
      <w:r>
        <w:rPr>
          <w:rFonts w:hint="eastAsia" w:ascii="仿宋_GB2312" w:hAnsi="仿宋_GB2312" w:eastAsia="仿宋_GB2312" w:cs="仿宋_GB2312"/>
          <w:sz w:val="28"/>
          <w:szCs w:val="36"/>
          <w:u w:val="single"/>
        </w:rPr>
        <w:t xml:space="preserve"> 29  </w:t>
      </w:r>
      <w:r>
        <w:rPr>
          <w:rFonts w:hint="eastAsia" w:ascii="仿宋_GB2312" w:hAnsi="仿宋_GB2312" w:eastAsia="仿宋_GB2312" w:cs="仿宋_GB2312"/>
          <w:sz w:val="28"/>
          <w:szCs w:val="36"/>
        </w:rPr>
        <w:t>年（基建期1.5年，闭坑整治期1.5年），自颁发《采矿许可证》之日算起。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黑体" w:hAnsi="黑体" w:eastAsia="黑体" w:cs="黑体"/>
          <w:sz w:val="28"/>
          <w:szCs w:val="36"/>
        </w:rPr>
      </w:pPr>
      <w:r>
        <w:rPr>
          <w:rFonts w:hint="eastAsia" w:ascii="黑体" w:hAnsi="黑体" w:eastAsia="黑体" w:cs="黑体"/>
          <w:sz w:val="28"/>
          <w:szCs w:val="36"/>
        </w:rPr>
        <w:t xml:space="preserve">第四条 </w:t>
      </w:r>
      <w:r>
        <w:rPr>
          <w:rFonts w:hint="eastAsia" w:ascii="仿宋_GB2312" w:hAnsi="仿宋_GB2312" w:eastAsia="仿宋_GB2312" w:cs="仿宋_GB2312"/>
          <w:sz w:val="28"/>
          <w:szCs w:val="36"/>
        </w:rPr>
        <w:t>采矿权出让收益</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（一）采矿权出让收益为人民币：</w:t>
      </w:r>
      <w:r>
        <w:rPr>
          <w:rFonts w:hint="eastAsia" w:ascii="仿宋" w:hAnsi="仿宋" w:eastAsia="仿宋" w:cs="仿宋_GB2312"/>
          <w:sz w:val="28"/>
          <w:szCs w:val="36"/>
          <w:u w:val="single"/>
        </w:rPr>
        <w:t xml:space="preserve">      </w:t>
      </w:r>
      <w:r>
        <w:rPr>
          <w:rFonts w:hint="eastAsia" w:ascii="仿宋_GB2312" w:hAnsi="仿宋_GB2312" w:eastAsia="仿宋_GB2312" w:cs="仿宋_GB2312"/>
          <w:sz w:val="28"/>
          <w:szCs w:val="36"/>
          <w:u w:val="single"/>
        </w:rPr>
        <w:t xml:space="preserve"> 元（大写）（￥    元）</w:t>
      </w:r>
      <w:r>
        <w:rPr>
          <w:rFonts w:hint="eastAsia" w:ascii="仿宋_GB2312" w:hAnsi="仿宋_GB2312" w:eastAsia="仿宋_GB2312" w:cs="仿宋_GB2312"/>
          <w:sz w:val="28"/>
          <w:szCs w:val="36"/>
        </w:rPr>
        <w:t>。</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 w:hAnsi="仿宋" w:eastAsia="仿宋" w:cs="仿宋_GB2312"/>
          <w:sz w:val="28"/>
          <w:szCs w:val="36"/>
        </w:rPr>
      </w:pPr>
      <w:r>
        <w:rPr>
          <w:rFonts w:hint="eastAsia" w:ascii="仿宋_GB2312" w:hAnsi="仿宋_GB2312" w:eastAsia="仿宋_GB2312" w:cs="仿宋_GB2312"/>
          <w:sz w:val="28"/>
          <w:szCs w:val="36"/>
        </w:rPr>
        <w:t>（二）采矿权出让收益缴纳方式：分期缴纳。分10年（期）缴纳，首期缴纳成交价款的50%，人民币：（大写）</w:t>
      </w:r>
      <w:r>
        <w:rPr>
          <w:rFonts w:hint="eastAsia"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元（￥</w:t>
      </w:r>
      <w:r>
        <w:rPr>
          <w:rFonts w:hint="eastAsia"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元）；</w:t>
      </w:r>
      <w:r>
        <w:rPr>
          <w:rFonts w:hint="eastAsia" w:ascii="仿宋_GB2312" w:hAnsi="仿宋_GB2312" w:eastAsia="仿宋_GB2312" w:cs="仿宋_GB2312"/>
          <w:sz w:val="28"/>
          <w:szCs w:val="28"/>
        </w:rPr>
        <w:t>其余50%平均按9年（期）缴纳。</w:t>
      </w:r>
      <w:r>
        <w:rPr>
          <w:rFonts w:hint="eastAsia" w:ascii="仿宋_GB2312" w:hAnsi="仿宋_GB2312" w:eastAsia="仿宋_GB2312" w:cs="仿宋_GB2312"/>
          <w:sz w:val="28"/>
          <w:szCs w:val="36"/>
        </w:rPr>
        <w:t>每年</w:t>
      </w:r>
      <w:r>
        <w:rPr>
          <w:rFonts w:hint="eastAsia"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月</w:t>
      </w:r>
      <w:r>
        <w:rPr>
          <w:rFonts w:hint="eastAsia"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目前，缴纳人民币（大写）</w:t>
      </w:r>
      <w:r>
        <w:rPr>
          <w:rFonts w:hint="eastAsia"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元（￥</w:t>
      </w:r>
      <w:r>
        <w:rPr>
          <w:rFonts w:hint="eastAsia" w:ascii="仿宋_GB2312" w:hAnsi="仿宋_GB2312" w:eastAsia="仿宋_GB2312" w:cs="仿宋_GB2312"/>
          <w:sz w:val="28"/>
          <w:szCs w:val="36"/>
          <w:u w:val="single"/>
        </w:rPr>
        <w:t xml:space="preserve">    </w:t>
      </w:r>
      <w:r>
        <w:rPr>
          <w:rFonts w:hint="eastAsia" w:ascii="仿宋_GB2312" w:hAnsi="仿宋_GB2312" w:eastAsia="仿宋_GB2312" w:cs="仿宋_GB2312"/>
          <w:sz w:val="28"/>
          <w:szCs w:val="36"/>
        </w:rPr>
        <w:t>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乙方在收到甲方开具的缴款通知书7个工作日内付清按期应缴纳的采矿权出让收益，前期缴纳的竞买保证金可抵作采矿权出让收益，乙方未按时足额缴纳采矿权出让收益的，从滞纳之日起每日加收2‰的滞纳金。</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采矿权出让收益不包括矿业权占用费及其他依规需要缴纳的费用，其中矿业权占用费首年为1500元，此后按相关规定逐年缴纳。</w:t>
      </w:r>
    </w:p>
    <w:p>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kern w:val="21"/>
          <w:sz w:val="28"/>
          <w:szCs w:val="28"/>
        </w:rPr>
        <w:t>甲方权利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按法律法规、部门规章、相关政策文件规定及本合同的约定，向乙方收取采矿权出让收益，并按照法律法规和相关规定对乙方进行监督管理。对乙方违反法律法规、政策规定和本合同约定，实施违法开采、非法转让等行为依法进行调查处理。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（二）乙方未按时足额缴纳采矿权出让收益分期款的，甲方有权按照征收管理权限责令改正，从滞纳之日起每日加收千分之二的滞纳金，并将相关信息纳入企业诚信系统。乙方拒不改正的，甲方有权解除本合同。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（三）因行政许可所依据的法律、法规、规章修改或者废止，或者准予开采许可所依据的客观情况发生重大变化，为了公共利益的需要，甲方有权依法撤回采矿许可证并有权解除本合同。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（四）依法或依本合同享有的其他权利。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黑体" w:hAnsi="黑体" w:eastAsia="黑体" w:cs="黑体"/>
          <w:sz w:val="28"/>
          <w:szCs w:val="36"/>
        </w:rPr>
        <w:t>第六条</w:t>
      </w:r>
      <w:r>
        <w:rPr>
          <w:rFonts w:hint="eastAsia" w:ascii="仿宋" w:hAnsi="仿宋" w:eastAsia="仿宋" w:cs="仿宋_GB2312"/>
          <w:sz w:val="28"/>
          <w:szCs w:val="36"/>
        </w:rPr>
        <w:t>　</w:t>
      </w:r>
      <w:r>
        <w:rPr>
          <w:rFonts w:hint="eastAsia" w:ascii="仿宋_GB2312" w:hAnsi="仿宋_GB2312" w:eastAsia="仿宋_GB2312" w:cs="仿宋_GB2312"/>
          <w:sz w:val="28"/>
          <w:szCs w:val="36"/>
        </w:rPr>
        <w:t>甲方义务</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（一）甲方应在受理乙方提交符合要求的采矿权登记申请材料后，在法定期限内，依法为乙方办理采矿许可证登记，颁发《采矿许可证》。</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（二）甲方应当维护乙方依法和依本合同取得采矿权所应当享有的权利。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（三）按照法律法规和相关规定应当履行的其他义务。</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（四）甲方应将《采矿权出让合同》告知采矿权出让征收机关（区税务局），并提请其开具缴款通知书，通知乙方缴款。</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（五）甲方确保处理好原鸿发石场矿业权人退场事宜，并协助乙方完成原鸿发石场剩余资产交割和相关资产转让协议签订。</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黑体" w:hAnsi="黑体" w:eastAsia="黑体" w:cs="黑体"/>
          <w:sz w:val="28"/>
          <w:szCs w:val="36"/>
        </w:rPr>
        <w:t>第七条</w:t>
      </w:r>
      <w:r>
        <w:rPr>
          <w:rFonts w:hint="eastAsia" w:ascii="Calibri" w:hAnsi="Calibri" w:eastAsia="仿宋" w:cs="宋体"/>
          <w:kern w:val="21"/>
          <w:sz w:val="28"/>
          <w:szCs w:val="28"/>
        </w:rPr>
        <w:t>　</w:t>
      </w:r>
      <w:r>
        <w:rPr>
          <w:rFonts w:hint="eastAsia" w:ascii="仿宋_GB2312" w:hAnsi="仿宋_GB2312" w:eastAsia="仿宋_GB2312" w:cs="仿宋_GB2312"/>
          <w:sz w:val="28"/>
          <w:szCs w:val="36"/>
        </w:rPr>
        <w:t>乙方权利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（一）按照《采矿许可证》注明的矿区范围、有效期限、开采矿种、开采方式等进行开采作业，并享有矿产品销售收益。</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（二）依法享有申请采矿权延续、保留、变更等权利，但应当符合法律法规、部门规章、相关政策文件的规定。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（三）乙方按时按期缴清矿业权出让收益后，符合允许办理转让变更情形的，有权依法依规转让采矿权。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（四）按法律法规和相关规定享有的其他权利。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黑体" w:hAnsi="黑体" w:eastAsia="黑体" w:cs="黑体"/>
          <w:sz w:val="28"/>
          <w:szCs w:val="36"/>
        </w:rPr>
        <w:t>第八条</w:t>
      </w:r>
      <w:r>
        <w:rPr>
          <w:rFonts w:hint="eastAsia" w:ascii="Calibri" w:hAnsi="Calibri" w:eastAsia="仿宋" w:cs="宋体"/>
          <w:kern w:val="21"/>
          <w:sz w:val="28"/>
          <w:szCs w:val="28"/>
        </w:rPr>
        <w:t>　</w:t>
      </w:r>
      <w:r>
        <w:rPr>
          <w:rFonts w:hint="eastAsia" w:ascii="仿宋_GB2312" w:hAnsi="仿宋_GB2312" w:eastAsia="仿宋_GB2312" w:cs="仿宋_GB2312"/>
          <w:sz w:val="28"/>
          <w:szCs w:val="36"/>
        </w:rPr>
        <w:t>乙方义务</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（一）按本合同的第四条要求缴纳合同约定的采矿权出让收益。</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按照国家有关规定向大亚湾区财政局指定账户依法缴纳采矿权前期投入费用（包括矿区因地质勘探占用林地和道路补偿费331.47万元、地质勘查及开发利用方案编制费用386.90万元、采矿权出让收益评估费用9万元、原鸿发石场采矿权剩余价值资产评估费15万元，原鸿发石场2021年矿山复绿工程费用372万元由竞得人承担，）共计人民币1114.37万元，并承担原鸿发</w:t>
      </w:r>
      <w:r>
        <w:rPr>
          <w:rFonts w:hint="eastAsia" w:ascii="仿宋_GB2312" w:hAnsi="仿宋_GB2312" w:eastAsia="仿宋_GB2312" w:cs="仿宋_GB2312"/>
          <w:spacing w:val="6"/>
          <w:kern w:val="0"/>
          <w:sz w:val="28"/>
          <w:szCs w:val="28"/>
        </w:rPr>
        <w:t>石场2021年矿山地质环境恢复治理及生态修复方案编制费用17.03万元</w:t>
      </w:r>
      <w:r>
        <w:rPr>
          <w:rFonts w:hint="eastAsia" w:ascii="仿宋_GB2312" w:hAnsi="仿宋_GB2312" w:eastAsia="仿宋_GB2312" w:cs="仿宋_GB2312"/>
          <w:sz w:val="28"/>
          <w:szCs w:val="36"/>
        </w:rPr>
        <w:t>。</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（三）向指定账户支付经专业机构评估的原鸿发石场矿业权人惠州大亚湾鸿发石料开采有限公司剩余资产价值人民币约3345万元（以实际核算为准），乙方支付完毕后，剩余资产归乙方所有。</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（四）为维护矿山周边生态环境，降低因矿山开采、运输等作业活动对周边村民日常生活造成的生态环境、生活环境、基础设施等不良影响，</w:t>
      </w:r>
      <w:r>
        <w:rPr>
          <w:rFonts w:hint="eastAsia" w:ascii="仿宋_GB2312" w:hAnsi="仿宋_GB2312" w:eastAsia="仿宋_GB2312" w:cs="仿宋_GB2312"/>
          <w:sz w:val="28"/>
          <w:szCs w:val="36"/>
          <w:lang w:val="en-US" w:eastAsia="zh-CN"/>
        </w:rPr>
        <w:t>须在签订成交确认书至闭坑期间（约29年）</w:t>
      </w:r>
      <w:r>
        <w:rPr>
          <w:rFonts w:hint="eastAsia" w:ascii="仿宋_GB2312" w:hAnsi="仿宋_GB2312" w:eastAsia="仿宋_GB2312" w:cs="仿宋_GB2312"/>
          <w:sz w:val="28"/>
          <w:szCs w:val="36"/>
        </w:rPr>
        <w:t>每年须提供500万元作为生态环境改善资金</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共计约14500万元</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并定期转账至大亚湾区财政局指定账户（首年以成交确认书之日起至当年12月31日天数按比例计算援助资金）。</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（五）按相关约定定期向大亚湾区财政局指定账户缴纳惠霞高速公路项目建设资本金及运营亏损补贴共计</w:t>
      </w:r>
      <w:r>
        <w:rPr>
          <w:rFonts w:hint="eastAsia" w:ascii="仿宋_GB2312" w:hAnsi="仿宋_GB2312" w:eastAsia="仿宋_GB2312" w:cs="Times New Roman"/>
          <w:bCs w:val="0"/>
          <w:sz w:val="28"/>
          <w:szCs w:val="28"/>
        </w:rPr>
        <w:t>164200万元，其中2021及2022年度惠霞高速公路项目资本金11766万元已由大亚湾区财政局指定单位先行垫付，乙方应在签订《成交确认书》后10个自然日内向大亚湾区财政局指定账户支付2021及2022年度惠霞高速公路项目资本金11766万元及所产生的利息（利息按同期银行一年期贷款基准利率计算）。</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（六）按规定计缴纳资源税等税费。 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七）自签订《成交确认书》之日起40天内向惠州市国土资源局大亚湾经济技术开发区分局提供与该采矿权所在范围内相关土地权利人签订的合法有效采矿用地协议书或合作协议书并在4个月内向其提交符合采矿权变更登记要求的申办材料，申办《采矿许可证》。</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（八）矿区范围内涉及的集体和个人土地、林地、坟墓及地表附着物和构建物等相关补偿费用，按大亚湾区霞涌街道办与利益相关人协商一致的补偿标准支付，并在约定时间内转账至大亚湾区财政局指定账户。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0"/>
        <w:textAlignment w:val="auto"/>
        <w:rPr>
          <w:rFonts w:hint="eastAsia" w:ascii="仿宋_GB2312" w:hAnsi="仿宋_GB2312" w:eastAsia="仿宋_GB2312" w:cs="仿宋_GB2312"/>
          <w:sz w:val="32"/>
          <w:highlight w:val="yellow"/>
        </w:rPr>
      </w:pPr>
      <w:r>
        <w:rPr>
          <w:rFonts w:hint="eastAsia" w:ascii="仿宋_GB2312" w:hAnsi="仿宋_GB2312" w:eastAsia="仿宋_GB2312" w:cs="仿宋_GB2312"/>
          <w:sz w:val="28"/>
          <w:szCs w:val="36"/>
        </w:rPr>
        <w:t>（九</w:t>
      </w:r>
      <w:r>
        <w:rPr>
          <w:rFonts w:hint="eastAsia" w:ascii="仿宋_GB2312" w:hAnsi="仿宋_GB2312" w:eastAsia="仿宋_GB2312" w:cs="仿宋_GB2312"/>
          <w:sz w:val="28"/>
          <w:szCs w:val="36"/>
          <w:highlight w:val="none"/>
        </w:rPr>
        <w:t>）</w:t>
      </w:r>
      <w:r>
        <w:rPr>
          <w:rFonts w:hint="eastAsia" w:ascii="仿宋_GB2312" w:hAnsi="仿宋_GB2312" w:eastAsia="仿宋_GB2312" w:cs="仿宋_GB2312"/>
          <w:sz w:val="28"/>
          <w:szCs w:val="28"/>
          <w:highlight w:val="none"/>
        </w:rPr>
        <w:t>在领取《采矿许可证》之日起24个月内，提供不低于5亿元的资金用于霞涌片区内的交通基础设施（含矿山专用外部运输道路）项目建设，助推城乡融合发展。其中，矿山专用外部运输道路须在颁发《采矿许可证》之日起1年内建成且该道路建成投用后的养护与维修费用等由竞得人自行解决，并承担因此产生的相关风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（十）在履行《采矿权出让合同》过程中应及时自行筹集3亿元资金用于通用码头建设，确保按大亚湾区管委会要求建成并交付使用。</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（十一）在申请《采矿许可证》前，编制矿山地质环境保护及土地复垦方案，与甲方签订矿山土地复垦工作监管协议，并按照有关规定缴纳矿业权占用费。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（十二）在取得《采矿许可证》后，必须具备其他有关法定条件后方可开采。</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（十三）在取得《采矿许可证》后，自采矿许可证颁发之日起14个月内完成绿色矿山建设并生产；若乙方无正当理由停工或者停产连续满2年的，采矿许可证颁发机关有权注销其采矿许可证。</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（十四）开采作业应严格按照审查通过的矿产资源开发利用方案进行开采，应按照《采矿许可证》核定的开采量进行开采，不得超深、越界、超出核定开采量。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（十五）在开采过程中涉及土地、道路、用水、安全生产、环境保护等事项，应当按照有关法律法规、规章政策的要求自行办理相关手续，涉及的税费由乙方承担。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（十六）本合同约定的采矿权出让年限内，矿区范围内已完成出让收益处置的资源储量外开采新增资源储量的，须补缴采矿权出让收益。</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（十七）在《采矿许可证》有效期届满的30日前按登记机关要求的材料清单申请办理延续登记手续，矿权人逾期不办理延续登记手续的，视为放弃权利，采矿许可证自行废止，登记管理机关公告注销采矿权。</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八）《采矿许可证》有效期届满，乙方提出延续登记申请但未获批准的，乙方应当将《采矿许可证》交回甲方，并办理采矿权注销登记。乙方应当及时封堵、回填、拆除矿井及设备设施，采取措施消除安全隐患。</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（十九）按照《财政部 国土资源部环境保护部关于取消矿山地质环境治理恢复保证金建立矿山地质环境治理恢复基金的指导意见》（财建〔2017〕638号）文件，建立矿山地质环境治理恢复基金账户，按照批准的矿山地质环境保护与土地复垦方案开展矿山地质环境治理和土地复垦。逐年足额提取矿山地质环境恢复治理费用，做到“边开采、边治理、边复绿”。</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十）矿山企业必须按照国家和广东省有关规定开展绿色矿山建设，要严格按照国土资源部发布的《非金属矿行业绿色矿山建设规范》建设和运营，矿山生产过程中必须严格按照相关规定自上而下开采，进行边开采边恢复治理，严格执行“三同时”制度；实施科学有序依法依规开采，实施环境生态化、开采方式科学化、资源利用高效化、管理信息数字化和矿山社区和谐化。</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（二十一）开采作业时，发现具有重大科学文化价值的罕见地质现象以及文化古迹、古文物时，应当加以保护并及时报告有关部门。</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（二十二）按照《中华人民共和国土地管理法》规定，建设占用土地的应办理建设用地审批手续；建设项目施工和地质勘察等需要临时使用土地的，依法办理临时用地审批手续。</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（二十三）按建筑碎石类产能同步配套20%以上产能的机制砂生产线且生产的建筑石料必须优先保障大亚湾区重点工程、重大项目和民生工程的建筑石料的稳定供应，销售渠道及价格必须接受有关部门监管。</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（二十四）按照法律法规和相关规定应当履行的其他义务。</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 xml:space="preserve">第九条 </w:t>
      </w:r>
      <w:r>
        <w:rPr>
          <w:rFonts w:hint="eastAsia" w:ascii="仿宋_GB2312" w:hAnsi="仿宋_GB2312" w:eastAsia="仿宋_GB2312" w:cs="Times New Roman"/>
          <w:sz w:val="28"/>
          <w:szCs w:val="28"/>
        </w:rPr>
        <w:t>乙方应自行承担以下可能存在的风险：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一）矿产资源投资具有投资风险性，存在不可抗力和政策变化，乙方应充分了解和考虑，慎重决策。充分评估投资风险，一旦竞得，签订《成交确认书》或《采矿权出让合同》，风险由乙方自行承担，不得向国土资源等部门提出退款、索赔、延长采矿权期限等要求。</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本次出让的资源储量为一次性出让，出让年限到期或该矿区内出让的资源提前开采完毕后，出让人依法依规收回采矿权。如政府部门不继续出让该矿区的矿产资源，采矿权属人应履行矿山关闭所涉相关义务，按要求开展复垦复绿、矿山闭坑工作并办理采矿权注销登记相关手续，自行拆除相关设备以及矿区地面建筑物、构筑物、机械设备等采矿权人资产，做好退场准备工作。采矿权到期或出让资源开采完毕后，采矿权属人仍未履行矿山复垦复绿、矿山闭坑及退场义务的则视为该采矿权属人自愿放弃遗留在矿区范围内的所有资产，出让人等政府部门有权自行处理。出让人按照约定或者法律规定收回采矿权的，出让人或者其他政府部门对该矿山企业所遗留的资产、设施设备、剩余资源量等无需予以补偿；</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三）乙方自行承担可能存在的矿产开发价值、市场价格波动等商业风险和损失。因国家法律、法规、规章、政策调整而造成企业在采矿许可证有效期内停产或退出的，由大亚湾区管委会和乙方协商，依法依规予以处理。</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_GB2312" w:hAnsi="仿宋_GB2312" w:eastAsia="仿宋_GB2312" w:cs="Times New Roman"/>
          <w:sz w:val="28"/>
          <w:szCs w:val="28"/>
        </w:rPr>
      </w:pPr>
      <w:r>
        <w:rPr>
          <w:rFonts w:hint="eastAsia" w:ascii="仿宋" w:hAnsi="仿宋" w:eastAsia="仿宋" w:cs="仿宋_GB2312"/>
          <w:sz w:val="28"/>
          <w:szCs w:val="36"/>
        </w:rPr>
        <w:t>（四）乙方</w:t>
      </w:r>
      <w:r>
        <w:rPr>
          <w:rFonts w:hint="eastAsia" w:ascii="仿宋_GB2312" w:hAnsi="仿宋_GB2312" w:eastAsia="仿宋_GB2312" w:cs="Times New Roman"/>
          <w:sz w:val="28"/>
          <w:szCs w:val="28"/>
        </w:rPr>
        <w:t>在领取《采矿许可证》之日起</w:t>
      </w:r>
      <w:r>
        <w:rPr>
          <w:rFonts w:ascii="仿宋_GB2312" w:hAnsi="仿宋_GB2312" w:eastAsia="仿宋_GB2312" w:cs="Times New Roman"/>
          <w:sz w:val="28"/>
          <w:szCs w:val="28"/>
        </w:rPr>
        <w:t>24个月内，</w:t>
      </w:r>
      <w:r>
        <w:rPr>
          <w:rFonts w:hint="eastAsia" w:ascii="仿宋_GB2312" w:hAnsi="仿宋_GB2312" w:eastAsia="仿宋_GB2312" w:cs="Times New Roman"/>
          <w:sz w:val="28"/>
          <w:szCs w:val="28"/>
        </w:rPr>
        <w:t>应提供不低于</w:t>
      </w:r>
      <w:r>
        <w:rPr>
          <w:rFonts w:ascii="仿宋_GB2312" w:hAnsi="仿宋_GB2312" w:eastAsia="仿宋_GB2312" w:cs="Times New Roman"/>
          <w:sz w:val="28"/>
          <w:szCs w:val="28"/>
        </w:rPr>
        <w:t>5亿元的资金用于霞涌片区内的交通基础设施（含矿山专用外部运输道路）项目建设</w:t>
      </w:r>
      <w:r>
        <w:rPr>
          <w:rFonts w:hint="eastAsia" w:ascii="仿宋_GB2312" w:hAnsi="仿宋_GB2312" w:eastAsia="仿宋_GB2312" w:cs="Times New Roman"/>
          <w:sz w:val="28"/>
          <w:szCs w:val="28"/>
        </w:rPr>
        <w:t>且矿山专用外部运输道路须在颁发《采矿许可证》之日起</w:t>
      </w:r>
      <w:r>
        <w:rPr>
          <w:rFonts w:ascii="仿宋_GB2312" w:hAnsi="仿宋_GB2312" w:eastAsia="仿宋_GB2312" w:cs="Times New Roman"/>
          <w:sz w:val="28"/>
          <w:szCs w:val="28"/>
        </w:rPr>
        <w:t>1年内建成，</w:t>
      </w:r>
      <w:r>
        <w:rPr>
          <w:rFonts w:hint="eastAsia" w:ascii="仿宋_GB2312" w:hAnsi="仿宋_GB2312" w:eastAsia="仿宋_GB2312" w:cs="Times New Roman"/>
          <w:sz w:val="28"/>
          <w:szCs w:val="28"/>
        </w:rPr>
        <w:t>乙方无法在约定时间内提供</w:t>
      </w:r>
      <w:r>
        <w:rPr>
          <w:rFonts w:hint="eastAsia" w:ascii="仿宋_GB2312" w:hAnsi="仿宋_GB2312" w:eastAsia="仿宋_GB2312" w:cs="Times New Roman"/>
          <w:sz w:val="28"/>
          <w:szCs w:val="28"/>
          <w:lang w:val="en-US" w:eastAsia="zh-CN"/>
        </w:rPr>
        <w:t>不低于</w:t>
      </w:r>
      <w:r>
        <w:rPr>
          <w:rFonts w:ascii="仿宋_GB2312" w:hAnsi="仿宋_GB2312" w:eastAsia="仿宋_GB2312" w:cs="Times New Roman"/>
          <w:sz w:val="28"/>
          <w:szCs w:val="28"/>
        </w:rPr>
        <w:t>5亿元交通基础设施</w:t>
      </w:r>
      <w:r>
        <w:rPr>
          <w:rFonts w:hint="eastAsia" w:ascii="仿宋_GB2312" w:hAnsi="仿宋_GB2312" w:eastAsia="仿宋_GB2312" w:cs="Times New Roman"/>
          <w:sz w:val="28"/>
          <w:szCs w:val="28"/>
        </w:rPr>
        <w:t>项目建设资金或完成矿山专用外部运输道路建设的，出让人有权收回该采矿权，由此引起的一切损失和责任均由乙方自行承担。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（五）在矿山生产过程中须遵守公路车辆运输超载超限治理的相关规定，矿山企业因车辆超限超载致使停产停工而造成损失的，由乙方自行承担后果。</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六）本采矿权为非净矿出让，矿区范围与我区省级生态公益林、商品林重叠，面积分别为89.6755公顷、4.1173公顷；与惠州市大亚湾森林公园重叠面积为83.2413公顷，此面积范围已于2020年通过自然保护地优化整合工作剔除在惠州市大亚湾森林公园范围内，但还未取得国家林草局批复。乙方参与竞买前应到矿区所在地的林业、生态环境、街道办等相关部门及村委会和相关村小组就矿区范围涉及土地、林地使用（生态公益林征占用、森林公园经营范围调整、林业用地行政许可、林木砍伐）、环境影响评估等问题进行详细了解。采矿权人开采矿产资源需要临时占用或者征用土地的，乙方应当办理相关用地审批手续；涉及林地使用的，乙方必须报林业行政主管部门审核批准，所发生的费用由乙方负担。乙方因为矿区范围涉及的土地、林地等权益问题与用地权利人无法达成协议或无法取得土地、林地用地行政审批许可及采矿许可证进而导致矿区无法按期建设和生产的，出让人有权收回该采矿权，由此引起的一切损失和责任均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七）乙方在参与竞买前应向惠州市国土资源局大亚湾经济技术开发区分局、大亚湾区口岸办、惠州市海洋与渔业局大亚湾分局、惠州市及大亚湾区生态环境局、惠州市及大亚湾区交通运输局、惠州市港口航空铁路事务中心等相关部门和单位详尽了解通用码头建设要求和石化区东侧预留岸线等情况，评估潜在风险。乙方提交竞买申请即视为认可本公告第九条第（一）项通用码头建设相关条款，并自行承担无法按要求完成通用码头建设并交付使用所引起的一切损失和责任等风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八）乙方因矿山生产建设、矿山专用外部运输道路所涉及的土地权属和其他地上附着物如林木、作物、固定设施、道路、房屋、输电线、安全与卫生防护距离和相关权属的处置，以及因补偿和拆迁等问题需要和周边村镇和群众协商的事宜较多，乙方在参与竞买前需要向矿区所在的住建、国土、交通、林业、供电、街道办、村委会等相关部门和单位充分了解具体情况，进行实地考察。对竞得后可能需对第三方做出的补偿等问题，由乙方依据有关规定自行协商解决，相关费用和由此产生的一切后果由乙方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九）若乙方在矿山生产过程中与当地群众发生一切矿群纠纷（地质环境、生态环境、水资源、生活环境、基础设施等矿群纠纷）未妥善解决导致矿山被依法停产的，由乙方自行负责经济损失，并在恢复生产前由乙方依法依规妥善解决纠纷问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本次挂牌出让的采矿权，其储量地质报告、矿产资源开发利用方案、出让收益评估报告等均由具有相应资质的机构出具，并经主管部门评审备案，但有关矿体的规模、形态、储量、品位等可能与实际开采有差距，存在不可预见的风险，乙方竞买成交后必须承担相应的风险。</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（十一）办理采矿权登记审批要件相关的产能核定、安全生产、环保、水保、林业等部门法律法规政策的特殊要求，乙方应充分了解，慎重决策，风险由乙方自行承担。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 w:hAnsi="仿宋" w:eastAsia="仿宋" w:cs="仿宋_GB2312"/>
          <w:sz w:val="28"/>
          <w:szCs w:val="36"/>
        </w:rPr>
      </w:pPr>
      <w:r>
        <w:rPr>
          <w:rFonts w:hint="eastAsia" w:ascii="黑体" w:hAnsi="黑体" w:eastAsia="黑体" w:cs="黑体"/>
          <w:sz w:val="28"/>
          <w:szCs w:val="36"/>
        </w:rPr>
        <w:t>第十条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其他约定</w:t>
      </w:r>
    </w:p>
    <w:p>
      <w:pPr>
        <w:keepNext w:val="0"/>
        <w:keepLines w:val="0"/>
        <w:pageBreakBefore w:val="0"/>
        <w:widowControl w:val="0"/>
        <w:numPr>
          <w:ilvl w:val="-1"/>
          <w:numId w:val="0"/>
        </w:numPr>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乙方以挂牌出让方式取得采矿权的，签订合同时甲方应向乙方出示并移交设定采矿权的资料，包括地质勘查报告及评审意见书、备案证明，开发利用方案（开采设计）及评审意见书等，乙方对此均应认同。在开采过程中，如实际情况与甲方移交资料内容出现差异，所产生的全部风险责任由乙方承担。</w:t>
      </w:r>
    </w:p>
    <w:p>
      <w:pPr>
        <w:keepNext w:val="0"/>
        <w:keepLines w:val="0"/>
        <w:pageBreakBefore w:val="0"/>
        <w:widowControl w:val="0"/>
        <w:numPr>
          <w:ilvl w:val="-1"/>
          <w:numId w:val="0"/>
        </w:numPr>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本合同约定的采矿权出让年限内，乙方申请变更采矿权开采方式、生产规模等内容的，应与甲方签订补充合同，并按法律法规的规定重新编制申请材料和处置出让收益。</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三）采矿权在有效期内因生态保护、安全生产、公共利益、产业政策等被县级及以上人民政府决定关闭并公告的，乙方应当自决定关闭矿山之日起30日内，向原登记管理机关申请办理采矿许可证注销登记手续。乙方不办理采矿许可证注销登记手续的，由登记管理机关责令限期改正；逾期不改正的，由原登记管理机关吊销采矿许可证，并根据《中华人民共和国行政许可法》第七十条规定办理采矿许可证注销手续。</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第十一条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违约责任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一）本次挂牌采矿权，乙方未在签订《成交确认书》之日起4个月内向甲方提交需要的材料申请办理采矿登记手续的，甲方有权单方解除本合同并无偿收回该采矿权，乙方已缴纳的采矿权出让收益不予返还。甲方收回采矿权之后有权重新组织出让，乙方及其关联企业均不得再次参与竞买。</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（二）甲方在受理乙方提交符合要求的采矿权登记申请材料后，未在规定时间内，依法为乙方办理采矿权登记并颁发《采矿许可证》的，由此造成乙方损失的，乙方有权要求甲方赔偿相应损失。</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三）乙方未在签订《成交确认书》之日起40个自然日内与该采矿权所在范围内相关土地权利人签订合法有效采矿用地协议书或者合作协议书，本合同终止，甲方有权无偿收回该采矿权并重新组织出让，但乙方及其关联企业均不得再次参与竞买。</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四）乙方未按本合同约定缴付采矿权出让收益的，甲方有权以通知方式责令乙方限期缴纳，并从滞纳之日起每日加收千分之二的滞纳金（加收的滞纳金不超过欠缴金额本金）。乙方在甲方催缴确定的期限届满时仍未缴付应缴的采矿权出让收益和滞纳金的，甲方有权解除本合同，并吊销《采矿许可证》，且乙方已缴纳的采矿权出让收益不予返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五）乙方（或其股东）在履行《采矿权出让合同》过程中未按采矿权挂牌出让公告第八条第（四）项、第九条第（一）项的约定提供通用码头及交通基础设施项目建设资金且未在规定时间内完成矿山专用外部运输道路建设并交付投用的，甲方有权解除本合同并吊销《采矿许可证》，乙方已缴纳的采矿权出让收益不予返还且甲方有权无偿收回该采矿权并重新组织出让，但乙方及其关联企业均不得再次参与竞买；矿山专用外部运输道路及通用码头可按已完成工程内容据实结算，乙方须无条件配合大亚湾区管委会指定部门或单位进行工程核算并退场。</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六）本合同约定的采矿权出让年限内，矿区范围内已完成出让收益处置的资源储量外发现新增资源储量的，乙方不按要求补缴采矿权出让收益，甲方有权解除合同，按有关法律法规要求办理，已收取的采矿权出让收益不予退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（七）乙方未按相关法规要求办理延续、变更等手续的，或发生其他违法违规行为的，按有关法律法规要求办理。</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（八）有下列行为之一的，甲方有权依法责令乙方停止开采或者依据有关规定处理，构成犯罪的，移交司法机关依法追究责任。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1.《采矿许可证》过期擅自开采的；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2.超越批准的矿区范围开采的；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3.未经批准，擅自转让采矿权的；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4.不按开发利用方案开采的；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5.不按矿山地质环境保护与土地复垦方案实施治理和复垦的；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6.不按照法律、法规规定参加采矿权信息公示、报告有关情况，拒绝接受监督检查或者弄虚作假的；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7.不依法办理《采矿许可证》变更或者注销登记手续的；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8.不依法按期缴纳采矿权占用费等应当缴纳的费用的；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9.破坏或者擅自移动矿区范围界桩或者地面标志的；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九）乙方对其提供的申请材料的真实性负责：采矿权出让环节不符合竞买条件，提供虚假文件或者隐瞒事实，向主管部门行贿、恶意串通或者采取其他不正当手段者竞得采矿权的；采矿权登记环节通过隐瞒有关情况、提供虚假材料或者拒绝提供反映其活动情况真实材料等不正当手段骗取采矿登记的，一经发现，依据《中华人民共和国行政许可法》等法律法规有关规定处理；构成犯罪的，移交司法机关依法追究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第十二条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有下列情形之一的，可以变更或者解除合同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（一）合同当事人双方协商一致的；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（二）因不可抗力致使合同不能实现的；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（三）乙方在开采过程中，违反国家法律、法规的；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（四）合同约定变更、解除的其他情形。</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 w:hAnsi="仿宋" w:eastAsia="仿宋" w:cs="仿宋_GB2312"/>
          <w:sz w:val="28"/>
          <w:szCs w:val="36"/>
        </w:rPr>
      </w:pPr>
      <w:r>
        <w:rPr>
          <w:rFonts w:hint="eastAsia" w:ascii="仿宋_GB2312" w:hAnsi="仿宋_GB2312" w:eastAsia="仿宋_GB2312" w:cs="Times New Roman"/>
          <w:sz w:val="28"/>
          <w:szCs w:val="28"/>
        </w:rPr>
        <w:t>变更或者解除合同的通知、协议，应当采用书面形式。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第十三条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有下列情形之一的，合同终止∶</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（一）《采矿许可证》到期，且乙方不再申请延续，或者延续申请未获批准的；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（二）乙方依法申请转让采矿权并获得批准，办理采矿许可证变更登记的；</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（三）法律法规规定及合同约定终止的其他情形。</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ascii="仿宋" w:hAnsi="仿宋" w:eastAsia="仿宋" w:cs="仿宋_GB2312"/>
          <w:sz w:val="28"/>
          <w:szCs w:val="36"/>
        </w:rPr>
      </w:pPr>
      <w:r>
        <w:rPr>
          <w:rFonts w:hint="eastAsia" w:ascii="黑体" w:hAnsi="黑体" w:eastAsia="黑体" w:cs="黑体"/>
          <w:sz w:val="28"/>
          <w:szCs w:val="36"/>
        </w:rPr>
        <w:t>第十四条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不可抗力</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（一）合同双方因不可抗力不能按时履行合同，应于不可抗力结束后_2_日（节假日顺延）内，将有关情况向另一方说明，并提交全部不能履行或部分不能履行合同或延期履行合同的书面说明材料。</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二）合同双方因不可抗力原因造成合同部分或全部不能履行的，可不承担责任，但必须采取一切必要的补救措施以减少造成的损失。由于当事人主观原因延误，未及时采取必要措施而导致损失扩大的，不能免除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第十五条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一方变更名称、地址、开户银行、账号等重要事项的，应在15个工作日内将变更的原因及变更后的事项书面通知另一方。因变更方迟延通知给另一方造成损失变更方应承担全部责任。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 xml:space="preserve">第十六条 </w:t>
      </w:r>
      <w:r>
        <w:rPr>
          <w:rFonts w:hint="eastAsia" w:ascii="仿宋_GB2312" w:hAnsi="仿宋_GB2312" w:eastAsia="仿宋_GB2312" w:cs="Times New Roman"/>
          <w:sz w:val="28"/>
          <w:szCs w:val="28"/>
        </w:rPr>
        <w:t>因履行本合同发生争议，合同有约定的，按合同执行，合同未约定的，由争议当事人协商解决，协商不成的，可依法向甲方住所地有管辖权的人民法院起诉。合同当事人应当履行发生法律效力的判决、调解书；拒不履行的，对方可以请求人民法院强制执行。在调解、诉讼期间，合同及其附件继续履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第十七条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本合同于甲乙双方法定代表人或授权代理人签字并加盖公章之日起生效，但合同约定的关于乙方成为采矿权人之后的有关条款按采矿权挂牌出让公告相关条款约定施行。</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本合同订立、效力、解释、履行及争议的解决均适用中华人民共和国法律。</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黑体" w:hAnsi="黑体" w:eastAsia="黑体" w:cs="黑体"/>
          <w:sz w:val="28"/>
          <w:szCs w:val="36"/>
        </w:rPr>
        <w:t>第十八条</w:t>
      </w:r>
      <w:r>
        <w:rPr>
          <w:rFonts w:hint="eastAsia" w:ascii="仿宋" w:hAnsi="仿宋" w:eastAsia="仿宋" w:cs="仿宋_GB2312"/>
          <w:sz w:val="28"/>
          <w:szCs w:val="36"/>
        </w:rPr>
        <w:t xml:space="preserve">  </w:t>
      </w:r>
      <w:r>
        <w:rPr>
          <w:rFonts w:hint="eastAsia" w:ascii="仿宋_GB2312" w:hAnsi="仿宋_GB2312" w:eastAsia="仿宋_GB2312" w:cs="Times New Roman"/>
          <w:sz w:val="28"/>
          <w:szCs w:val="28"/>
        </w:rPr>
        <w:t>本合同一式</w:t>
      </w:r>
      <w:r>
        <w:rPr>
          <w:rFonts w:hint="eastAsia" w:ascii="仿宋_GB2312" w:hAnsi="仿宋_GB2312" w:eastAsia="仿宋_GB2312" w:cs="Times New Roman"/>
          <w:sz w:val="28"/>
          <w:szCs w:val="28"/>
          <w:u w:val="none"/>
        </w:rPr>
        <w:t xml:space="preserve">  陆  </w:t>
      </w:r>
      <w:r>
        <w:rPr>
          <w:rFonts w:hint="eastAsia" w:ascii="仿宋_GB2312" w:hAnsi="仿宋_GB2312" w:eastAsia="仿宋_GB2312" w:cs="Times New Roman"/>
          <w:sz w:val="28"/>
          <w:szCs w:val="28"/>
        </w:rPr>
        <w:t>份，甲方、乙方各持</w:t>
      </w:r>
      <w:r>
        <w:rPr>
          <w:rFonts w:hint="eastAsia" w:ascii="仿宋_GB2312" w:hAnsi="仿宋_GB2312" w:eastAsia="仿宋_GB2312" w:cs="Times New Roman"/>
          <w:sz w:val="28"/>
          <w:szCs w:val="28"/>
          <w:u w:val="none"/>
        </w:rPr>
        <w:t xml:space="preserve">  叁  </w:t>
      </w:r>
      <w:r>
        <w:rPr>
          <w:rFonts w:hint="eastAsia" w:ascii="仿宋_GB2312" w:hAnsi="仿宋_GB2312" w:eastAsia="仿宋_GB2312" w:cs="Times New Roman"/>
          <w:sz w:val="28"/>
          <w:szCs w:val="28"/>
        </w:rPr>
        <w:t>份，签字盖章后生效。</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 xml:space="preserve">甲方（盖章）: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 xml:space="preserve">法定代表人或授权委托人（签字）: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时间：</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年</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月</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日</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 xml:space="preserve">乙方（盖章）: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 xml:space="preserve">法定代表人或授权委托人（签字）: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时间：</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年</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月</w:t>
      </w:r>
      <w:r>
        <w:rPr>
          <w:rFonts w:hint="eastAsia" w:ascii="仿宋_GB2312" w:hAnsi="仿宋_GB2312" w:eastAsia="仿宋_GB2312" w:cs="Times New Roman"/>
          <w:sz w:val="28"/>
          <w:szCs w:val="28"/>
          <w:u w:val="single"/>
        </w:rPr>
        <w:t xml:space="preserve">      </w:t>
      </w:r>
      <w:r>
        <w:rPr>
          <w:rFonts w:hint="eastAsia" w:ascii="仿宋_GB2312" w:hAnsi="仿宋_GB2312" w:eastAsia="仿宋_GB2312" w:cs="Times New Roman"/>
          <w:sz w:val="28"/>
          <w:szCs w:val="28"/>
        </w:rPr>
        <w:t>日</w:t>
      </w:r>
    </w:p>
    <w:p>
      <w:pPr>
        <w:keepNext w:val="0"/>
        <w:keepLines w:val="0"/>
        <w:pageBreakBefore w:val="0"/>
        <w:widowControl w:val="0"/>
        <w:kinsoku/>
        <w:overflowPunct/>
        <w:topLinePunct w:val="0"/>
        <w:autoSpaceDE/>
        <w:autoSpaceDN/>
        <w:bidi w:val="0"/>
        <w:adjustRightInd/>
        <w:snapToGrid/>
        <w:spacing w:line="560" w:lineRule="exact"/>
        <w:textAlignment w:val="auto"/>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spacing w:line="520" w:lineRule="exact"/>
      <w:ind w:firstLine="360" w:firstLineChars="200"/>
      <w:jc w:val="left"/>
      <w:rPr>
        <w:rFonts w:ascii="Calibri" w:hAnsi="Calibri" w:eastAsia="仿宋" w:cs="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spacing w:line="520" w:lineRule="exact"/>
      <w:ind w:firstLine="360" w:firstLineChars="200"/>
      <w:jc w:val="left"/>
      <w:rPr>
        <w:rFonts w:ascii="Calibri" w:hAnsi="Calibri" w:eastAsia="仿宋" w:cs="宋体"/>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5"/>
      <w:numFmt w:val="chineseCounting"/>
      <w:suff w:val="nothing"/>
      <w:lvlText w:val="第%1条　"/>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YWJlYTE2YzQxMTI5NTFhNzBhOTgzNjdkNzA2NzkifQ=="/>
  </w:docVars>
  <w:rsids>
    <w:rsidRoot w:val="1A562F1A"/>
    <w:rsid w:val="1A562F1A"/>
    <w:rsid w:val="1DC046F7"/>
    <w:rsid w:val="788F5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2022-09-27T10:56:00Z</dcterms:created>
  <dc:creator>Tong</dc:creator>
  <cp:lastModifiedBy>Tong</cp:lastModifiedBy>
  <dcterms:modified xsi:type="dcterms:W3CDTF">2022-09-27T11:18:25Z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6F7082A34A43450A91816ECBEC8F645A</vt:lpwstr>
  </property>
</Properties>
</file>