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60" w:lineRule="exact"/>
        <w:ind w:left="4018" w:hanging="4018" w:hangingChars="900"/>
        <w:jc w:val="center"/>
        <w:rPr>
          <w:rFonts w:hint="eastAsia" w:ascii="华文中宋" w:hAnsi="华文中宋" w:eastAsia="华文中宋"/>
          <w:b/>
          <w:bCs/>
          <w:color w:val="auto"/>
          <w:spacing w:val="3"/>
          <w:sz w:val="44"/>
          <w:szCs w:val="44"/>
        </w:rPr>
      </w:pPr>
      <w:r>
        <w:rPr>
          <w:rFonts w:hint="eastAsia" w:ascii="华文中宋" w:hAnsi="华文中宋" w:eastAsia="华文中宋"/>
          <w:b/>
          <w:bCs/>
          <w:color w:val="auto"/>
          <w:spacing w:val="3"/>
          <w:sz w:val="44"/>
          <w:szCs w:val="44"/>
        </w:rPr>
        <w:t>惠州大亚湾区国有建设用地使用权</w:t>
      </w:r>
    </w:p>
    <w:p>
      <w:pPr>
        <w:tabs>
          <w:tab w:val="left" w:pos="11340"/>
        </w:tabs>
        <w:spacing w:line="560" w:lineRule="exact"/>
        <w:ind w:left="4018" w:hanging="4018" w:hangingChars="900"/>
        <w:jc w:val="center"/>
        <w:rPr>
          <w:rFonts w:hint="eastAsia" w:ascii="华文中宋" w:hAnsi="华文中宋" w:eastAsia="华文中宋"/>
          <w:b/>
          <w:bCs/>
          <w:color w:val="auto"/>
          <w:spacing w:val="3"/>
          <w:sz w:val="44"/>
          <w:szCs w:val="44"/>
        </w:rPr>
      </w:pPr>
      <w:r>
        <w:rPr>
          <w:rFonts w:hint="eastAsia" w:ascii="华文中宋" w:hAnsi="华文中宋" w:eastAsia="华文中宋"/>
          <w:b/>
          <w:bCs/>
          <w:color w:val="auto"/>
          <w:spacing w:val="3"/>
          <w:sz w:val="44"/>
          <w:szCs w:val="44"/>
        </w:rPr>
        <w:t>网上挂牌出让公告</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惠湾资源挂出让（告）[202</w:t>
      </w:r>
      <w:r>
        <w:rPr>
          <w:rFonts w:hint="eastAsia" w:ascii="仿宋" w:hAnsi="仿宋" w:eastAsia="仿宋" w:cs="仿宋_GB2312"/>
          <w:color w:val="auto"/>
          <w:sz w:val="32"/>
          <w:szCs w:val="32"/>
          <w:highlight w:val="none"/>
          <w:lang w:val="en-US" w:eastAsia="zh-CN"/>
        </w:rPr>
        <w:t>6</w:t>
      </w:r>
      <w:r>
        <w:rPr>
          <w:rFonts w:hint="eastAsia" w:ascii="仿宋" w:hAnsi="仿宋" w:eastAsia="仿宋" w:cs="仿宋_GB2312"/>
          <w:color w:val="auto"/>
          <w:sz w:val="32"/>
          <w:szCs w:val="32"/>
          <w:highlight w:val="none"/>
        </w:rPr>
        <w:t>]0</w:t>
      </w:r>
      <w:r>
        <w:rPr>
          <w:rFonts w:hint="eastAsia" w:ascii="仿宋" w:hAnsi="仿宋" w:eastAsia="仿宋" w:cs="仿宋_GB2312"/>
          <w:color w:val="auto"/>
          <w:sz w:val="32"/>
          <w:szCs w:val="32"/>
          <w:highlight w:val="none"/>
          <w:lang w:val="en-US" w:eastAsia="zh-CN"/>
        </w:rPr>
        <w:t>03</w:t>
      </w:r>
      <w:r>
        <w:rPr>
          <w:rFonts w:hint="eastAsia" w:ascii="仿宋" w:hAnsi="仿宋" w:eastAsia="仿宋" w:cs="仿宋_GB2312"/>
          <w:color w:val="auto"/>
          <w:sz w:val="32"/>
          <w:szCs w:val="32"/>
          <w:highlight w:val="none"/>
        </w:rPr>
        <w:t>号</w:t>
      </w:r>
    </w:p>
    <w:p>
      <w:pPr>
        <w:spacing w:line="560" w:lineRule="exact"/>
        <w:ind w:firstLine="640" w:firstLineChars="200"/>
        <w:rPr>
          <w:rFonts w:ascii="仿宋" w:hAnsi="仿宋" w:eastAsia="仿宋" w:cs="仿宋_GB2312"/>
          <w:color w:val="auto"/>
          <w:sz w:val="32"/>
          <w:szCs w:val="32"/>
        </w:rPr>
      </w:pPr>
    </w:p>
    <w:p>
      <w:pPr>
        <w:spacing w:line="560" w:lineRule="exact"/>
        <w:ind w:firstLine="640" w:firstLineChars="200"/>
        <w:rPr>
          <w:rFonts w:ascii="仿宋" w:hAnsi="仿宋" w:eastAsia="仿宋" w:cs="华文仿宋"/>
          <w:color w:val="auto"/>
          <w:sz w:val="32"/>
          <w:szCs w:val="32"/>
        </w:rPr>
      </w:pPr>
      <w:r>
        <w:rPr>
          <w:rFonts w:hint="eastAsia" w:ascii="仿宋" w:hAnsi="仿宋" w:eastAsia="仿宋" w:cs="华文仿宋"/>
          <w:color w:val="auto"/>
          <w:sz w:val="32"/>
          <w:szCs w:val="32"/>
        </w:rPr>
        <w:t>根据《招标拍卖挂牌出让国有建设用地使用权规定》（国土资源部令第39号）和《广东省国有建设用地使用权交易市场管理规定》（广东省人民政府令第304号）的规定，经批准，我局决定以网上挂牌方式公开出让下列</w:t>
      </w:r>
      <w:r>
        <w:rPr>
          <w:rFonts w:hint="eastAsia" w:ascii="仿宋" w:hAnsi="仿宋" w:eastAsia="仿宋" w:cs="华文仿宋"/>
          <w:color w:val="auto"/>
          <w:sz w:val="32"/>
          <w:szCs w:val="32"/>
          <w:lang w:val="en-US" w:eastAsia="zh-CN"/>
        </w:rPr>
        <w:t>一</w:t>
      </w:r>
      <w:r>
        <w:rPr>
          <w:rFonts w:hint="eastAsia" w:ascii="仿宋" w:hAnsi="仿宋" w:eastAsia="仿宋" w:cs="华文仿宋"/>
          <w:color w:val="auto"/>
          <w:sz w:val="32"/>
          <w:szCs w:val="32"/>
        </w:rPr>
        <w:t>宗国有建设用地使用权。现将有关事项公告如下：</w:t>
      </w:r>
    </w:p>
    <w:p>
      <w:pPr>
        <w:spacing w:line="560" w:lineRule="exact"/>
        <w:ind w:firstLine="643" w:firstLineChars="200"/>
        <w:rPr>
          <w:rFonts w:ascii="仿宋" w:hAnsi="仿宋" w:eastAsia="仿宋" w:cs="华文仿宋"/>
          <w:b/>
          <w:bCs/>
          <w:color w:val="auto"/>
          <w:sz w:val="32"/>
          <w:szCs w:val="32"/>
        </w:rPr>
      </w:pPr>
      <w:r>
        <w:rPr>
          <w:rFonts w:hint="eastAsia" w:ascii="仿宋" w:hAnsi="仿宋" w:eastAsia="仿宋" w:cs="华文仿宋"/>
          <w:b/>
          <w:bCs/>
          <w:color w:val="auto"/>
          <w:sz w:val="32"/>
          <w:szCs w:val="32"/>
        </w:rPr>
        <w:t>一、网上挂牌出让地块基本情况及规划指标要求（见附表）</w:t>
      </w:r>
    </w:p>
    <w:p>
      <w:pPr>
        <w:spacing w:line="560" w:lineRule="exact"/>
        <w:ind w:firstLine="643" w:firstLineChars="200"/>
        <w:rPr>
          <w:rFonts w:ascii="仿宋" w:hAnsi="仿宋" w:eastAsia="仿宋" w:cs="华文仿宋"/>
          <w:b/>
          <w:bCs/>
          <w:color w:val="auto"/>
          <w:sz w:val="32"/>
          <w:szCs w:val="32"/>
        </w:rPr>
      </w:pPr>
      <w:r>
        <w:rPr>
          <w:rFonts w:hint="eastAsia" w:ascii="仿宋" w:hAnsi="仿宋" w:eastAsia="仿宋" w:cs="华文仿宋"/>
          <w:b/>
          <w:bCs/>
          <w:color w:val="auto"/>
          <w:sz w:val="32"/>
          <w:szCs w:val="32"/>
        </w:rPr>
        <w:t>二、挂牌起始价及加价幅度</w:t>
      </w:r>
    </w:p>
    <w:p>
      <w:pPr>
        <w:spacing w:line="560" w:lineRule="exact"/>
        <w:ind w:firstLine="640" w:firstLineChars="200"/>
        <w:rPr>
          <w:rFonts w:ascii="仿宋" w:hAnsi="仿宋" w:eastAsia="仿宋" w:cs="华文仿宋"/>
          <w:color w:val="auto"/>
          <w:sz w:val="32"/>
          <w:szCs w:val="32"/>
        </w:rPr>
      </w:pPr>
      <w:r>
        <w:rPr>
          <w:rFonts w:hint="eastAsia" w:ascii="仿宋" w:hAnsi="仿宋" w:eastAsia="仿宋" w:cs="华文仿宋"/>
          <w:color w:val="auto"/>
          <w:sz w:val="32"/>
          <w:szCs w:val="32"/>
        </w:rPr>
        <w:t>挂牌起始价为人民币</w:t>
      </w:r>
      <w:r>
        <w:rPr>
          <w:rFonts w:hint="eastAsia" w:ascii="仿宋" w:hAnsi="仿宋" w:eastAsia="仿宋" w:cs="华文仿宋"/>
          <w:color w:val="auto"/>
          <w:sz w:val="32"/>
          <w:szCs w:val="32"/>
          <w:u w:val="single"/>
          <w:lang w:val="en-US" w:eastAsia="zh-CN"/>
        </w:rPr>
        <w:t>18902</w:t>
      </w:r>
      <w:r>
        <w:rPr>
          <w:rFonts w:hint="eastAsia" w:ascii="仿宋" w:hAnsi="仿宋" w:eastAsia="仿宋" w:cs="华文仿宋"/>
          <w:color w:val="auto"/>
          <w:sz w:val="32"/>
          <w:szCs w:val="32"/>
        </w:rPr>
        <w:t>万元,每次报价加价幅度为人民币</w:t>
      </w:r>
      <w:r>
        <w:rPr>
          <w:rFonts w:hint="eastAsia" w:ascii="仿宋" w:hAnsi="仿宋" w:eastAsia="仿宋" w:cs="华文仿宋"/>
          <w:color w:val="auto"/>
          <w:sz w:val="32"/>
          <w:szCs w:val="32"/>
          <w:u w:val="single"/>
          <w:lang w:val="en-US" w:eastAsia="zh-CN"/>
        </w:rPr>
        <w:t>100</w:t>
      </w:r>
      <w:r>
        <w:rPr>
          <w:rFonts w:hint="eastAsia" w:ascii="仿宋" w:hAnsi="仿宋" w:eastAsia="仿宋" w:cs="华文仿宋"/>
          <w:color w:val="auto"/>
          <w:sz w:val="32"/>
          <w:szCs w:val="32"/>
        </w:rPr>
        <w:t>万元的整数倍。</w:t>
      </w:r>
    </w:p>
    <w:p>
      <w:pPr>
        <w:spacing w:line="560" w:lineRule="exact"/>
        <w:ind w:firstLine="643" w:firstLineChars="200"/>
        <w:rPr>
          <w:rFonts w:ascii="仿宋" w:hAnsi="仿宋" w:eastAsia="仿宋" w:cs="华文仿宋"/>
          <w:b/>
          <w:bCs/>
          <w:color w:val="auto"/>
          <w:sz w:val="32"/>
          <w:szCs w:val="32"/>
        </w:rPr>
      </w:pPr>
      <w:r>
        <w:rPr>
          <w:rFonts w:hint="eastAsia" w:ascii="仿宋" w:hAnsi="仿宋" w:eastAsia="仿宋" w:cs="华文仿宋"/>
          <w:b/>
          <w:bCs/>
          <w:color w:val="auto"/>
          <w:sz w:val="32"/>
          <w:szCs w:val="32"/>
        </w:rPr>
        <w:t>三、时间安排</w:t>
      </w:r>
    </w:p>
    <w:p>
      <w:pPr>
        <w:spacing w:line="560" w:lineRule="exact"/>
        <w:ind w:firstLine="640" w:firstLineChars="200"/>
        <w:rPr>
          <w:rFonts w:hint="eastAsia" w:ascii="仿宋" w:hAnsi="仿宋" w:eastAsia="仿宋" w:cs="华文仿宋"/>
          <w:color w:val="auto"/>
          <w:sz w:val="32"/>
          <w:szCs w:val="32"/>
          <w:lang w:eastAsia="zh-CN"/>
        </w:rPr>
      </w:pPr>
      <w:r>
        <w:rPr>
          <w:rFonts w:hint="eastAsia" w:ascii="仿宋" w:hAnsi="仿宋" w:eastAsia="仿宋" w:cs="华文仿宋"/>
          <w:color w:val="auto"/>
          <w:sz w:val="32"/>
          <w:szCs w:val="32"/>
          <w:lang w:eastAsia="zh-CN"/>
        </w:rPr>
        <w:t>（一）公告时间：2026年2月11日至2026年3月3日。</w:t>
      </w:r>
    </w:p>
    <w:p>
      <w:pPr>
        <w:spacing w:line="560" w:lineRule="exact"/>
        <w:ind w:firstLine="640" w:firstLineChars="200"/>
        <w:rPr>
          <w:rFonts w:hint="eastAsia" w:ascii="仿宋" w:hAnsi="仿宋" w:eastAsia="仿宋" w:cs="华文仿宋"/>
          <w:color w:val="auto"/>
          <w:sz w:val="32"/>
          <w:szCs w:val="32"/>
          <w:lang w:eastAsia="zh-CN"/>
        </w:rPr>
      </w:pPr>
      <w:r>
        <w:rPr>
          <w:rFonts w:hint="eastAsia" w:ascii="仿宋" w:hAnsi="仿宋" w:eastAsia="仿宋" w:cs="华文仿宋"/>
          <w:color w:val="auto"/>
          <w:sz w:val="32"/>
          <w:szCs w:val="32"/>
          <w:lang w:eastAsia="zh-CN"/>
        </w:rPr>
        <w:t>（二）网上挂牌竞买时间：2026年3月4日9时至2026年3月18日10时。</w:t>
      </w:r>
    </w:p>
    <w:p>
      <w:pPr>
        <w:spacing w:line="560" w:lineRule="exact"/>
        <w:ind w:firstLine="640" w:firstLineChars="200"/>
        <w:rPr>
          <w:rFonts w:hint="eastAsia" w:ascii="仿宋" w:hAnsi="仿宋" w:eastAsia="仿宋" w:cs="华文仿宋"/>
          <w:color w:val="auto"/>
          <w:sz w:val="32"/>
          <w:szCs w:val="32"/>
          <w:lang w:eastAsia="zh-CN"/>
        </w:rPr>
      </w:pPr>
      <w:r>
        <w:rPr>
          <w:rFonts w:hint="eastAsia" w:ascii="仿宋" w:hAnsi="仿宋" w:eastAsia="仿宋" w:cs="华文仿宋"/>
          <w:color w:val="auto"/>
          <w:sz w:val="32"/>
          <w:szCs w:val="32"/>
          <w:lang w:eastAsia="zh-CN"/>
        </w:rPr>
        <w:t>（三）竞买保证金到账截止时间为：2026年3月18日9时。</w:t>
      </w:r>
    </w:p>
    <w:p>
      <w:pPr>
        <w:spacing w:line="560" w:lineRule="exact"/>
        <w:ind w:firstLine="643" w:firstLineChars="200"/>
        <w:rPr>
          <w:rFonts w:ascii="仿宋" w:hAnsi="仿宋" w:eastAsia="仿宋" w:cs="华文仿宋"/>
          <w:b/>
          <w:bCs/>
          <w:color w:val="auto"/>
          <w:sz w:val="32"/>
          <w:szCs w:val="32"/>
        </w:rPr>
      </w:pPr>
      <w:r>
        <w:rPr>
          <w:rFonts w:hint="eastAsia" w:ascii="仿宋" w:hAnsi="仿宋" w:eastAsia="仿宋" w:cs="华文仿宋"/>
          <w:b/>
          <w:bCs/>
          <w:color w:val="auto"/>
          <w:sz w:val="32"/>
          <w:szCs w:val="32"/>
        </w:rPr>
        <w:t>四、竞买资格及要求</w:t>
      </w:r>
    </w:p>
    <w:p>
      <w:pPr>
        <w:spacing w:line="560" w:lineRule="exact"/>
        <w:ind w:firstLine="640" w:firstLineChars="200"/>
        <w:rPr>
          <w:rFonts w:ascii="仿宋" w:hAnsi="仿宋" w:eastAsia="仿宋" w:cs="华文仿宋"/>
          <w:color w:val="auto"/>
          <w:sz w:val="32"/>
          <w:szCs w:val="32"/>
        </w:rPr>
      </w:pPr>
      <w:r>
        <w:rPr>
          <w:rFonts w:hint="eastAsia" w:ascii="仿宋" w:hAnsi="仿宋" w:eastAsia="仿宋" w:cs="华文仿宋"/>
          <w:color w:val="auto"/>
          <w:sz w:val="32"/>
          <w:szCs w:val="32"/>
        </w:rPr>
        <w:t>中华人民共和国境内外的法人和其他组织，符合竞买资格条件的,均可通过</w:t>
      </w:r>
      <w:r>
        <w:rPr>
          <w:rFonts w:hint="eastAsia" w:ascii="仿宋" w:hAnsi="仿宋" w:eastAsia="仿宋" w:cs="华文仿宋"/>
          <w:color w:val="auto"/>
          <w:sz w:val="32"/>
          <w:szCs w:val="32"/>
          <w:lang w:eastAsia="zh-CN"/>
        </w:rPr>
        <w:t>电子交易系统</w:t>
      </w:r>
      <w:r>
        <w:rPr>
          <w:rFonts w:hint="eastAsia" w:ascii="仿宋" w:hAnsi="仿宋" w:eastAsia="仿宋" w:cs="华文仿宋"/>
          <w:color w:val="auto"/>
          <w:sz w:val="32"/>
          <w:szCs w:val="32"/>
        </w:rPr>
        <w:t>，申请参加电子挂牌交易活动，法律、法规另有规定的从其规定。</w:t>
      </w:r>
    </w:p>
    <w:p>
      <w:pPr>
        <w:pStyle w:val="4"/>
        <w:widowControl w:val="0"/>
        <w:spacing w:before="0" w:line="560" w:lineRule="exact"/>
        <w:jc w:val="both"/>
        <w:rPr>
          <w:rFonts w:ascii="仿宋" w:hAnsi="仿宋" w:eastAsia="仿宋" w:cs="华文仿宋"/>
          <w:color w:val="auto"/>
          <w:szCs w:val="32"/>
        </w:rPr>
      </w:pPr>
      <w:r>
        <w:rPr>
          <w:rFonts w:hint="eastAsia" w:ascii="仿宋" w:hAnsi="仿宋" w:eastAsia="仿宋" w:cs="华文仿宋"/>
          <w:color w:val="auto"/>
          <w:szCs w:val="32"/>
        </w:rPr>
        <w:t>（一）交纳足额竞买保证金；</w:t>
      </w:r>
    </w:p>
    <w:p>
      <w:pPr>
        <w:pStyle w:val="7"/>
        <w:widowControl/>
        <w:spacing w:line="560" w:lineRule="exact"/>
        <w:ind w:firstLine="640" w:firstLineChars="200"/>
        <w:rPr>
          <w:rFonts w:ascii="仿宋" w:hAnsi="仿宋" w:eastAsia="仿宋" w:cs="华文仿宋"/>
          <w:color w:val="auto"/>
          <w:sz w:val="32"/>
          <w:szCs w:val="32"/>
        </w:rPr>
      </w:pPr>
      <w:r>
        <w:rPr>
          <w:rFonts w:hint="eastAsia" w:ascii="仿宋" w:hAnsi="仿宋" w:eastAsia="仿宋" w:cs="华文仿宋"/>
          <w:color w:val="auto"/>
          <w:sz w:val="32"/>
          <w:szCs w:val="32"/>
        </w:rPr>
        <w:t>（二）存在下列行为之一的企业及其控股股东，不得参与竞买上述地块：</w:t>
      </w:r>
    </w:p>
    <w:p>
      <w:pPr>
        <w:pStyle w:val="7"/>
        <w:widowControl/>
        <w:spacing w:line="560" w:lineRule="exact"/>
        <w:ind w:firstLine="640" w:firstLineChars="200"/>
        <w:jc w:val="both"/>
        <w:rPr>
          <w:rFonts w:ascii="仿宋" w:hAnsi="仿宋" w:eastAsia="仿宋" w:cs="华文仿宋"/>
          <w:color w:val="auto"/>
          <w:sz w:val="32"/>
          <w:szCs w:val="32"/>
        </w:rPr>
      </w:pPr>
      <w:r>
        <w:rPr>
          <w:rFonts w:hint="eastAsia" w:ascii="仿宋" w:hAnsi="仿宋" w:eastAsia="仿宋" w:cs="华文仿宋"/>
          <w:color w:val="auto"/>
          <w:sz w:val="32"/>
          <w:szCs w:val="32"/>
        </w:rPr>
        <w:t>1、伪造公文骗取用地行为；</w:t>
      </w:r>
    </w:p>
    <w:p>
      <w:pPr>
        <w:pStyle w:val="7"/>
        <w:widowControl/>
        <w:spacing w:line="560" w:lineRule="exact"/>
        <w:ind w:firstLine="640" w:firstLineChars="200"/>
        <w:jc w:val="both"/>
        <w:rPr>
          <w:rFonts w:ascii="仿宋" w:hAnsi="仿宋" w:eastAsia="仿宋" w:cs="华文仿宋"/>
          <w:color w:val="auto"/>
          <w:sz w:val="32"/>
          <w:szCs w:val="32"/>
        </w:rPr>
      </w:pPr>
      <w:r>
        <w:rPr>
          <w:rFonts w:hint="eastAsia" w:ascii="仿宋" w:hAnsi="仿宋" w:eastAsia="仿宋" w:cs="华文仿宋"/>
          <w:color w:val="auto"/>
          <w:sz w:val="32"/>
          <w:szCs w:val="32"/>
        </w:rPr>
        <w:t>2、非法转让土地使用权行为；</w:t>
      </w:r>
    </w:p>
    <w:p>
      <w:pPr>
        <w:pStyle w:val="7"/>
        <w:widowControl/>
        <w:spacing w:line="560" w:lineRule="exact"/>
        <w:ind w:firstLine="640" w:firstLineChars="200"/>
        <w:jc w:val="both"/>
        <w:rPr>
          <w:rFonts w:ascii="仿宋" w:hAnsi="仿宋" w:eastAsia="仿宋" w:cs="华文仿宋"/>
          <w:color w:val="auto"/>
          <w:sz w:val="32"/>
          <w:szCs w:val="32"/>
        </w:rPr>
      </w:pPr>
      <w:r>
        <w:rPr>
          <w:rFonts w:hint="eastAsia" w:ascii="仿宋" w:hAnsi="仿宋" w:eastAsia="仿宋" w:cs="华文仿宋"/>
          <w:color w:val="auto"/>
          <w:sz w:val="32"/>
          <w:szCs w:val="32"/>
        </w:rPr>
        <w:t>3、因企业原因造成土地闲置一年以上且至报名日止未处理完结；</w:t>
      </w:r>
    </w:p>
    <w:p>
      <w:pPr>
        <w:pStyle w:val="7"/>
        <w:widowControl/>
        <w:spacing w:line="560" w:lineRule="exact"/>
        <w:ind w:firstLine="640" w:firstLineChars="200"/>
        <w:jc w:val="both"/>
        <w:rPr>
          <w:rFonts w:ascii="仿宋" w:hAnsi="仿宋" w:eastAsia="仿宋" w:cs="华文仿宋"/>
          <w:color w:val="auto"/>
          <w:sz w:val="32"/>
          <w:szCs w:val="32"/>
        </w:rPr>
      </w:pPr>
      <w:r>
        <w:rPr>
          <w:rFonts w:hint="eastAsia" w:ascii="仿宋" w:hAnsi="仿宋" w:eastAsia="仿宋" w:cs="华文仿宋"/>
          <w:color w:val="auto"/>
          <w:sz w:val="32"/>
          <w:szCs w:val="32"/>
        </w:rPr>
        <w:t>4、未按出让合同约定条件开发利用土地且至报名日止未处理完结；</w:t>
      </w:r>
    </w:p>
    <w:p>
      <w:pPr>
        <w:pStyle w:val="7"/>
        <w:widowControl/>
        <w:spacing w:line="560" w:lineRule="exact"/>
        <w:ind w:firstLine="640" w:firstLineChars="200"/>
        <w:jc w:val="both"/>
        <w:rPr>
          <w:rFonts w:ascii="仿宋" w:hAnsi="仿宋" w:eastAsia="仿宋" w:cs="华文仿宋"/>
          <w:color w:val="auto"/>
          <w:sz w:val="32"/>
          <w:szCs w:val="32"/>
        </w:rPr>
      </w:pPr>
      <w:r>
        <w:rPr>
          <w:rFonts w:hint="eastAsia" w:ascii="仿宋" w:hAnsi="仿宋" w:eastAsia="仿宋" w:cs="华文仿宋"/>
          <w:color w:val="auto"/>
          <w:sz w:val="32"/>
          <w:szCs w:val="32"/>
        </w:rPr>
        <w:t>5、至报名日止仍拖欠政府地价款;</w:t>
      </w:r>
    </w:p>
    <w:p>
      <w:pPr>
        <w:pStyle w:val="4"/>
        <w:widowControl w:val="0"/>
        <w:spacing w:before="0" w:line="560" w:lineRule="exact"/>
        <w:jc w:val="both"/>
        <w:rPr>
          <w:rFonts w:ascii="仿宋" w:hAnsi="仿宋" w:eastAsia="仿宋" w:cs="华文仿宋"/>
          <w:color w:val="auto"/>
          <w:szCs w:val="32"/>
        </w:rPr>
      </w:pPr>
      <w:r>
        <w:rPr>
          <w:rFonts w:hint="eastAsia" w:ascii="仿宋" w:hAnsi="仿宋" w:eastAsia="仿宋" w:cs="华文仿宋"/>
          <w:color w:val="auto"/>
          <w:szCs w:val="32"/>
        </w:rPr>
        <w:t>6、未履行完毕生效法律文书确定的相关义务的失信被执行人的；</w:t>
      </w:r>
    </w:p>
    <w:p>
      <w:pPr>
        <w:pStyle w:val="4"/>
        <w:widowControl w:val="0"/>
        <w:spacing w:before="0" w:line="560" w:lineRule="exact"/>
        <w:jc w:val="both"/>
        <w:rPr>
          <w:rFonts w:ascii="仿宋" w:hAnsi="仿宋" w:eastAsia="仿宋" w:cs="华文仿宋"/>
          <w:color w:val="auto"/>
          <w:szCs w:val="32"/>
        </w:rPr>
      </w:pPr>
      <w:r>
        <w:rPr>
          <w:rFonts w:hint="eastAsia" w:ascii="仿宋" w:hAnsi="仿宋" w:eastAsia="仿宋" w:cs="华文仿宋"/>
          <w:color w:val="auto"/>
          <w:szCs w:val="32"/>
        </w:rPr>
        <w:t>7、存在其它被禁止竞买土地行为的。</w:t>
      </w:r>
    </w:p>
    <w:p>
      <w:pPr>
        <w:pStyle w:val="4"/>
        <w:widowControl w:val="0"/>
        <w:spacing w:before="0" w:line="560" w:lineRule="exact"/>
        <w:ind w:firstLine="643"/>
        <w:jc w:val="both"/>
        <w:rPr>
          <w:rFonts w:ascii="仿宋" w:hAnsi="仿宋" w:eastAsia="仿宋" w:cs="华文仿宋"/>
          <w:b/>
          <w:bCs/>
          <w:color w:val="auto"/>
          <w:szCs w:val="32"/>
        </w:rPr>
      </w:pPr>
      <w:r>
        <w:rPr>
          <w:rFonts w:hint="eastAsia" w:ascii="仿宋" w:hAnsi="仿宋" w:eastAsia="仿宋" w:cs="华文仿宋"/>
          <w:b/>
          <w:bCs/>
          <w:color w:val="auto"/>
          <w:szCs w:val="32"/>
        </w:rPr>
        <w:t>五、竞买保证金</w:t>
      </w:r>
    </w:p>
    <w:p>
      <w:pPr>
        <w:pStyle w:val="4"/>
        <w:widowControl w:val="0"/>
        <w:spacing w:before="0" w:line="560" w:lineRule="exact"/>
        <w:jc w:val="both"/>
        <w:rPr>
          <w:rFonts w:hint="eastAsia" w:ascii="仿宋" w:hAnsi="仿宋" w:eastAsia="仿宋" w:cs="华文仿宋"/>
          <w:color w:val="auto"/>
          <w:szCs w:val="32"/>
        </w:rPr>
      </w:pPr>
      <w:r>
        <w:rPr>
          <w:rFonts w:hint="eastAsia" w:ascii="仿宋" w:hAnsi="仿宋" w:eastAsia="仿宋" w:cs="华文仿宋"/>
          <w:color w:val="auto"/>
          <w:szCs w:val="32"/>
        </w:rPr>
        <w:t>（一）该宗地竞买保证金为人民币</w:t>
      </w:r>
      <w:r>
        <w:rPr>
          <w:rFonts w:hint="eastAsia" w:ascii="仿宋" w:hAnsi="仿宋" w:eastAsia="仿宋" w:cs="华文仿宋"/>
          <w:color w:val="auto"/>
          <w:szCs w:val="32"/>
          <w:u w:val="single"/>
          <w:lang w:val="en-US" w:eastAsia="zh-CN"/>
        </w:rPr>
        <w:t>3781</w:t>
      </w:r>
      <w:r>
        <w:rPr>
          <w:rFonts w:hint="eastAsia" w:ascii="仿宋" w:hAnsi="仿宋" w:eastAsia="仿宋" w:cs="华文仿宋"/>
          <w:color w:val="auto"/>
          <w:szCs w:val="32"/>
        </w:rPr>
        <w:t>万元。</w:t>
      </w:r>
    </w:p>
    <w:p>
      <w:pPr>
        <w:pStyle w:val="4"/>
        <w:widowControl w:val="0"/>
        <w:spacing w:before="0" w:line="560" w:lineRule="exact"/>
        <w:jc w:val="both"/>
        <w:rPr>
          <w:rFonts w:hint="eastAsia" w:ascii="仿宋" w:hAnsi="仿宋" w:eastAsia="仿宋" w:cs="华文仿宋"/>
          <w:color w:val="auto"/>
          <w:szCs w:val="32"/>
        </w:rPr>
      </w:pPr>
      <w:r>
        <w:rPr>
          <w:rFonts w:hint="eastAsia" w:ascii="仿宋" w:hAnsi="仿宋" w:eastAsia="仿宋" w:cs="华文仿宋"/>
          <w:color w:val="auto"/>
          <w:szCs w:val="32"/>
        </w:rPr>
        <w:t>（二）申请人应当在网上挂牌出让竞买保证金到账截止时间前登录</w:t>
      </w:r>
      <w:r>
        <w:rPr>
          <w:rFonts w:hint="eastAsia" w:ascii="仿宋" w:hAnsi="仿宋" w:eastAsia="仿宋" w:cs="仿宋"/>
          <w:color w:val="auto"/>
          <w:sz w:val="32"/>
          <w:szCs w:val="32"/>
          <w:highlight w:val="none"/>
          <w:lang w:val="en-US" w:eastAsia="zh-CN"/>
        </w:rPr>
        <w:t>惠州市公共资源交易中心土地与矿业挂牌电子交易系统</w:t>
      </w:r>
      <w:r>
        <w:rPr>
          <w:rFonts w:hint="eastAsia" w:ascii="仿宋" w:hAnsi="仿宋" w:eastAsia="仿宋" w:cs="华文仿宋"/>
          <w:color w:val="auto"/>
          <w:szCs w:val="32"/>
        </w:rPr>
        <w:t>（以下简称“电子交易系统”）获取竞买保证金支付账号。</w:t>
      </w:r>
    </w:p>
    <w:p>
      <w:pPr>
        <w:pStyle w:val="4"/>
        <w:widowControl w:val="0"/>
        <w:spacing w:before="0" w:line="560" w:lineRule="exact"/>
        <w:jc w:val="both"/>
        <w:rPr>
          <w:rFonts w:hint="eastAsia" w:ascii="仿宋" w:hAnsi="仿宋" w:eastAsia="仿宋" w:cs="华文仿宋"/>
          <w:color w:val="auto"/>
          <w:szCs w:val="32"/>
        </w:rPr>
      </w:pPr>
      <w:r>
        <w:rPr>
          <w:rFonts w:hint="eastAsia" w:ascii="仿宋" w:hAnsi="仿宋" w:eastAsia="仿宋" w:cs="华文仿宋"/>
          <w:color w:val="auto"/>
          <w:szCs w:val="32"/>
        </w:rPr>
        <w:t>（三）竞买保证金到账时间以电子交易系统确认并发出《</w:t>
      </w:r>
      <w:r>
        <w:rPr>
          <w:rFonts w:hint="eastAsia" w:ascii="仿宋" w:hAnsi="仿宋" w:eastAsia="仿宋" w:cs="华文仿宋"/>
          <w:color w:val="auto"/>
          <w:szCs w:val="32"/>
          <w:lang w:val="en-US" w:eastAsia="zh-CN"/>
        </w:rPr>
        <w:t>竞买</w:t>
      </w:r>
      <w:r>
        <w:rPr>
          <w:rFonts w:hint="eastAsia" w:ascii="仿宋" w:hAnsi="仿宋" w:eastAsia="仿宋" w:cs="华文仿宋"/>
          <w:color w:val="auto"/>
          <w:szCs w:val="32"/>
        </w:rPr>
        <w:t>保证金到账通知书》为准。</w:t>
      </w:r>
    </w:p>
    <w:p>
      <w:pPr>
        <w:spacing w:line="560" w:lineRule="exact"/>
        <w:ind w:firstLine="643" w:firstLineChars="200"/>
        <w:rPr>
          <w:rFonts w:ascii="仿宋" w:hAnsi="仿宋" w:eastAsia="仿宋" w:cs="华文仿宋"/>
          <w:b/>
          <w:bCs/>
          <w:color w:val="auto"/>
          <w:sz w:val="32"/>
          <w:szCs w:val="32"/>
        </w:rPr>
      </w:pPr>
      <w:r>
        <w:rPr>
          <w:rFonts w:hint="eastAsia" w:ascii="仿宋" w:hAnsi="仿宋" w:eastAsia="仿宋" w:cs="华文仿宋"/>
          <w:b/>
          <w:bCs/>
          <w:color w:val="auto"/>
          <w:sz w:val="32"/>
          <w:szCs w:val="32"/>
        </w:rPr>
        <w:t>六、竞买申请</w:t>
      </w:r>
    </w:p>
    <w:p>
      <w:pPr>
        <w:pStyle w:val="4"/>
        <w:widowControl w:val="0"/>
        <w:spacing w:before="0" w:line="560" w:lineRule="exact"/>
        <w:jc w:val="both"/>
        <w:rPr>
          <w:rFonts w:hint="eastAsia" w:ascii="仿宋" w:hAnsi="仿宋" w:eastAsia="仿宋" w:cs="华文仿宋"/>
          <w:color w:val="auto"/>
          <w:szCs w:val="32"/>
        </w:rPr>
      </w:pPr>
      <w:r>
        <w:rPr>
          <w:rFonts w:hint="eastAsia" w:ascii="仿宋" w:hAnsi="仿宋" w:eastAsia="仿宋" w:cs="华文仿宋"/>
          <w:color w:val="auto"/>
          <w:szCs w:val="32"/>
        </w:rPr>
        <w:t>本宗国有建设用地使用权网上挂牌出让只接受网上竞买申请，即通过电子交易系统进行，不接受电话、邮寄、书面、电子邮件及口头竞买。凡办理数字证书、按要求足额交纳竞买保证金的申请人，方可参加网上挂牌交易活动。</w:t>
      </w:r>
    </w:p>
    <w:p>
      <w:pPr>
        <w:pStyle w:val="4"/>
        <w:widowControl w:val="0"/>
        <w:spacing w:before="0" w:line="560" w:lineRule="exact"/>
        <w:jc w:val="both"/>
        <w:rPr>
          <w:rFonts w:hint="eastAsia" w:ascii="仿宋" w:hAnsi="仿宋" w:eastAsia="仿宋" w:cs="华文仿宋"/>
          <w:color w:val="auto"/>
          <w:szCs w:val="32"/>
        </w:rPr>
      </w:pPr>
      <w:r>
        <w:rPr>
          <w:rFonts w:hint="eastAsia" w:ascii="仿宋" w:hAnsi="仿宋" w:eastAsia="仿宋" w:cs="华文仿宋"/>
          <w:color w:val="auto"/>
          <w:szCs w:val="32"/>
        </w:rPr>
        <w:t>可以单独申请，也可以联合申请。如对联合竞买申请人的开发资质条件有明确要求的，在审查联合竞买申请人资质时，以联合体内资质最低一方的资质确定竞买资格条件。</w:t>
      </w:r>
    </w:p>
    <w:p>
      <w:pPr>
        <w:pStyle w:val="4"/>
        <w:widowControl w:val="0"/>
        <w:spacing w:before="0" w:line="560" w:lineRule="exact"/>
        <w:jc w:val="both"/>
        <w:rPr>
          <w:rFonts w:hint="eastAsia" w:ascii="仿宋" w:hAnsi="仿宋" w:eastAsia="仿宋" w:cs="华文仿宋"/>
          <w:color w:val="auto"/>
          <w:szCs w:val="32"/>
        </w:rPr>
      </w:pPr>
      <w:r>
        <w:rPr>
          <w:rFonts w:hint="eastAsia" w:ascii="仿宋" w:hAnsi="仿宋" w:eastAsia="仿宋" w:cs="华文仿宋"/>
          <w:color w:val="auto"/>
          <w:szCs w:val="32"/>
        </w:rPr>
        <w:t>本宗国有建设用地使用权网上挂牌出让实行竞买资格后置审查。竞买申请人交纳足额竞买保证金即获得竞买报价权限。</w:t>
      </w:r>
    </w:p>
    <w:p>
      <w:pPr>
        <w:pStyle w:val="4"/>
        <w:widowControl w:val="0"/>
        <w:spacing w:before="0" w:line="560" w:lineRule="exact"/>
        <w:ind w:firstLine="643"/>
        <w:jc w:val="both"/>
        <w:rPr>
          <w:rFonts w:ascii="仿宋" w:hAnsi="仿宋" w:eastAsia="仿宋" w:cs="华文仿宋"/>
          <w:b/>
          <w:bCs/>
          <w:color w:val="auto"/>
          <w:szCs w:val="32"/>
        </w:rPr>
      </w:pPr>
      <w:r>
        <w:rPr>
          <w:rFonts w:hint="eastAsia" w:ascii="仿宋" w:hAnsi="仿宋" w:eastAsia="仿宋" w:cs="华文仿宋"/>
          <w:b/>
          <w:bCs/>
          <w:color w:val="auto"/>
          <w:szCs w:val="32"/>
        </w:rPr>
        <w:t>七、竞买人电子报价及电子限时竞价</w:t>
      </w:r>
    </w:p>
    <w:p>
      <w:pPr>
        <w:pStyle w:val="3"/>
        <w:spacing w:line="560" w:lineRule="exact"/>
        <w:ind w:firstLine="579" w:firstLineChars="181"/>
        <w:rPr>
          <w:rFonts w:hint="eastAsia" w:ascii="仿宋" w:hAnsi="仿宋" w:eastAsia="仿宋" w:cs="华文仿宋"/>
          <w:color w:val="auto"/>
          <w:kern w:val="0"/>
          <w:sz w:val="32"/>
          <w:szCs w:val="32"/>
          <w:lang w:val="en-US" w:eastAsia="zh-CN" w:bidi="ar-SA"/>
        </w:rPr>
      </w:pPr>
      <w:r>
        <w:rPr>
          <w:rFonts w:hint="eastAsia" w:ascii="仿宋" w:hAnsi="仿宋" w:eastAsia="仿宋" w:cs="华文仿宋"/>
          <w:color w:val="auto"/>
          <w:kern w:val="0"/>
          <w:sz w:val="32"/>
          <w:szCs w:val="32"/>
          <w:lang w:val="en-US" w:eastAsia="zh-CN" w:bidi="ar-SA"/>
        </w:rPr>
        <w:t>竞买人须详细阅读本宗地网上挂牌出让公告、竞买须知及电子交易系统操作指南，熟练操作电子交易系统，按竞买规则进行电子报价及电子限时竞价。</w:t>
      </w:r>
    </w:p>
    <w:p>
      <w:pPr>
        <w:pStyle w:val="3"/>
        <w:spacing w:line="560" w:lineRule="exact"/>
        <w:ind w:firstLine="581" w:firstLineChars="181"/>
        <w:rPr>
          <w:rFonts w:ascii="仿宋" w:hAnsi="仿宋" w:eastAsia="仿宋" w:cs="华文仿宋"/>
          <w:b/>
          <w:bCs/>
          <w:color w:val="auto"/>
          <w:sz w:val="32"/>
          <w:szCs w:val="32"/>
        </w:rPr>
      </w:pPr>
      <w:r>
        <w:rPr>
          <w:rFonts w:hint="eastAsia" w:ascii="仿宋" w:hAnsi="仿宋" w:eastAsia="仿宋" w:cs="华文仿宋"/>
          <w:b/>
          <w:bCs/>
          <w:color w:val="auto"/>
          <w:sz w:val="32"/>
          <w:szCs w:val="32"/>
        </w:rPr>
        <w:t>八、确定成交候选人</w:t>
      </w:r>
    </w:p>
    <w:p>
      <w:pPr>
        <w:pStyle w:val="3"/>
        <w:spacing w:line="560" w:lineRule="exact"/>
        <w:ind w:firstLine="579" w:firstLineChars="181"/>
        <w:rPr>
          <w:rFonts w:hint="eastAsia" w:ascii="仿宋" w:hAnsi="仿宋" w:eastAsia="仿宋" w:cs="华文仿宋"/>
          <w:color w:val="auto"/>
          <w:kern w:val="0"/>
          <w:sz w:val="32"/>
          <w:szCs w:val="32"/>
          <w:lang w:val="en-US" w:eastAsia="zh-CN" w:bidi="ar-SA"/>
        </w:rPr>
      </w:pPr>
      <w:r>
        <w:rPr>
          <w:rFonts w:hint="eastAsia" w:ascii="仿宋" w:hAnsi="仿宋" w:eastAsia="仿宋" w:cs="华文仿宋"/>
          <w:color w:val="auto"/>
          <w:kern w:val="0"/>
          <w:sz w:val="32"/>
          <w:szCs w:val="32"/>
          <w:lang w:val="en-US" w:eastAsia="zh-CN" w:bidi="ar-SA"/>
        </w:rPr>
        <w:t>本宗国有建设用地使用权网上挂牌出让为无底价挂牌，采取“价高者得”方式出让并确定成交候选人。</w:t>
      </w:r>
    </w:p>
    <w:p>
      <w:pPr>
        <w:pStyle w:val="3"/>
        <w:spacing w:line="560" w:lineRule="exact"/>
        <w:ind w:firstLine="581" w:firstLineChars="181"/>
        <w:rPr>
          <w:rFonts w:ascii="仿宋" w:hAnsi="仿宋" w:eastAsia="仿宋" w:cs="华文仿宋"/>
          <w:b/>
          <w:bCs/>
          <w:color w:val="auto"/>
          <w:sz w:val="32"/>
          <w:szCs w:val="32"/>
        </w:rPr>
      </w:pPr>
      <w:r>
        <w:rPr>
          <w:rFonts w:hint="eastAsia" w:ascii="仿宋" w:hAnsi="仿宋" w:eastAsia="仿宋" w:cs="华文仿宋"/>
          <w:b/>
          <w:bCs/>
          <w:color w:val="auto"/>
          <w:sz w:val="32"/>
          <w:szCs w:val="32"/>
        </w:rPr>
        <w:t>九、资格审查</w:t>
      </w:r>
    </w:p>
    <w:p>
      <w:pPr>
        <w:pStyle w:val="3"/>
        <w:spacing w:line="560" w:lineRule="exact"/>
        <w:ind w:firstLine="579" w:firstLineChars="181"/>
        <w:rPr>
          <w:rFonts w:ascii="仿宋" w:hAnsi="仿宋" w:eastAsia="仿宋" w:cs="华文仿宋"/>
          <w:color w:val="auto"/>
          <w:sz w:val="32"/>
          <w:szCs w:val="32"/>
        </w:rPr>
      </w:pPr>
      <w:r>
        <w:rPr>
          <w:rFonts w:hint="eastAsia" w:ascii="仿宋" w:hAnsi="仿宋" w:eastAsia="仿宋" w:cs="仿宋"/>
          <w:color w:val="auto"/>
          <w:sz w:val="32"/>
          <w:szCs w:val="32"/>
        </w:rPr>
        <w:t>成交候选人应在电子交易系统确定成交候选人之日起2个工作日内将竞买申请书等材料上传至电子交易系统，由我局对竞买资格进行审查。我局将于1个工作日确定符合竞买资格的成交候选人为竞得人（成交候选人上传材料的具体操作详见</w:t>
      </w:r>
      <w:r>
        <w:rPr>
          <w:rFonts w:hint="eastAsia" w:ascii="仿宋" w:hAnsi="仿宋" w:eastAsia="仿宋" w:cs="仿宋"/>
          <w:color w:val="auto"/>
          <w:sz w:val="32"/>
          <w:szCs w:val="32"/>
          <w:lang w:eastAsia="zh-CN"/>
        </w:rPr>
        <w:t>电子交易系统</w:t>
      </w:r>
      <w:r>
        <w:rPr>
          <w:rFonts w:hint="eastAsia" w:ascii="仿宋" w:hAnsi="仿宋" w:eastAsia="仿宋" w:cs="仿宋"/>
          <w:color w:val="auto"/>
          <w:sz w:val="32"/>
          <w:szCs w:val="32"/>
        </w:rPr>
        <w:t>资料下载栏目中的《惠州市公共资源交易中心土地与矿业交易系统新增建设功能操作指南》）。</w:t>
      </w:r>
    </w:p>
    <w:p>
      <w:pPr>
        <w:pStyle w:val="7"/>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成交候选人资格审查须提交下列材料：</w:t>
      </w:r>
    </w:p>
    <w:p>
      <w:pPr>
        <w:pStyle w:val="7"/>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（一）《竞买申请书》（加盖公章）；</w:t>
      </w:r>
    </w:p>
    <w:p>
      <w:pPr>
        <w:pStyle w:val="7"/>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（二）《竞价结果通知书》（加盖公章）；</w:t>
      </w:r>
    </w:p>
    <w:p>
      <w:pPr>
        <w:pStyle w:val="7"/>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（三）《竞买保证金到账通知书》（加盖公章）；</w:t>
      </w:r>
    </w:p>
    <w:p>
      <w:pPr>
        <w:pStyle w:val="7"/>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（四）竞买保证金转账凭证复印件（加盖公章）；</w:t>
      </w:r>
    </w:p>
    <w:p>
      <w:pPr>
        <w:pStyle w:val="7"/>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（五）申请竞买人有效的《营业执照》复印件（加盖公章）；</w:t>
      </w:r>
    </w:p>
    <w:p>
      <w:pPr>
        <w:pStyle w:val="7"/>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（六）法定代表人身份证复印件（加盖公章）；</w:t>
      </w:r>
    </w:p>
    <w:p>
      <w:pPr>
        <w:pStyle w:val="7"/>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（七）授权他人代理的授权委托书及代理人身份证复印件（核对原件）；</w:t>
      </w:r>
    </w:p>
    <w:p>
      <w:pPr>
        <w:pStyle w:val="7"/>
        <w:widowControl/>
        <w:ind w:left="645"/>
        <w:rPr>
          <w:rFonts w:ascii="仿宋" w:hAnsi="仿宋" w:eastAsia="仿宋" w:cs="仿宋"/>
          <w:color w:val="auto"/>
          <w:kern w:val="2"/>
          <w:sz w:val="32"/>
          <w:szCs w:val="32"/>
        </w:rPr>
      </w:pPr>
      <w:r>
        <w:rPr>
          <w:rFonts w:hint="eastAsia" w:ascii="仿宋" w:hAnsi="仿宋" w:eastAsia="仿宋" w:cs="仿宋"/>
          <w:color w:val="auto"/>
          <w:kern w:val="2"/>
          <w:sz w:val="32"/>
          <w:szCs w:val="32"/>
        </w:rPr>
        <w:t>（八）法人和非法人组织公共信用信息报告（盖公章）</w:t>
      </w:r>
    </w:p>
    <w:p>
      <w:pPr>
        <w:pStyle w:val="7"/>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（九）联合竞买协议（联合竞买的提供）；</w:t>
      </w:r>
    </w:p>
    <w:p>
      <w:pPr>
        <w:pStyle w:val="7"/>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（十）竞买人及其控股股东不存在违法、违规、违约行为的承诺书。</w:t>
      </w:r>
    </w:p>
    <w:p>
      <w:pPr>
        <w:spacing w:line="560" w:lineRule="exact"/>
        <w:ind w:firstLine="555"/>
        <w:rPr>
          <w:rFonts w:ascii="仿宋" w:hAnsi="仿宋" w:eastAsia="仿宋" w:cs="华文仿宋"/>
          <w:b/>
          <w:bCs/>
          <w:color w:val="auto"/>
          <w:sz w:val="32"/>
          <w:szCs w:val="32"/>
        </w:rPr>
      </w:pPr>
      <w:r>
        <w:rPr>
          <w:rFonts w:hint="eastAsia" w:ascii="仿宋" w:hAnsi="仿宋" w:eastAsia="仿宋" w:cs="华文仿宋"/>
          <w:b/>
          <w:bCs/>
          <w:color w:val="auto"/>
          <w:sz w:val="32"/>
          <w:szCs w:val="32"/>
        </w:rPr>
        <w:t>十、</w:t>
      </w:r>
      <w:r>
        <w:rPr>
          <w:rFonts w:hint="eastAsia" w:ascii="仿宋" w:hAnsi="仿宋" w:eastAsia="仿宋"/>
          <w:b/>
          <w:bCs/>
          <w:color w:val="auto"/>
          <w:sz w:val="32"/>
          <w:szCs w:val="32"/>
        </w:rPr>
        <w:t>签订交易成交确认书及出让合同</w:t>
      </w:r>
    </w:p>
    <w:p>
      <w:pPr>
        <w:spacing w:line="560" w:lineRule="exact"/>
        <w:ind w:firstLine="555"/>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竞得人应在接到竞得人确定通知之日起5个工作日内与我局、交易中心签订《成交确认书》，在签订《成交确认书》之日起10日内与我局签订《国有建设用地使用权出让合同》。</w:t>
      </w:r>
    </w:p>
    <w:p>
      <w:pPr>
        <w:spacing w:line="560" w:lineRule="exact"/>
        <w:ind w:firstLine="643" w:firstLineChars="200"/>
        <w:rPr>
          <w:rFonts w:ascii="仿宋" w:hAnsi="仿宋" w:eastAsia="仿宋" w:cs="华文仿宋"/>
          <w:b/>
          <w:bCs/>
          <w:color w:val="auto"/>
          <w:sz w:val="32"/>
          <w:szCs w:val="32"/>
        </w:rPr>
      </w:pPr>
      <w:r>
        <w:rPr>
          <w:rFonts w:hint="eastAsia" w:ascii="仿宋" w:hAnsi="仿宋" w:eastAsia="仿宋" w:cs="华文仿宋"/>
          <w:b/>
          <w:bCs/>
          <w:color w:val="auto"/>
          <w:sz w:val="32"/>
          <w:szCs w:val="32"/>
        </w:rPr>
        <w:t>十一、竞买保证金退还或转付成交价款</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签订交易合同，竞得人交纳的竞买保证金按成交价的</w:t>
      </w:r>
      <w:r>
        <w:rPr>
          <w:rFonts w:hint="eastAsia" w:ascii="仿宋" w:hAnsi="仿宋" w:eastAsia="仿宋" w:cs="仿宋"/>
          <w:color w:val="auto"/>
          <w:sz w:val="32"/>
          <w:szCs w:val="32"/>
          <w:u w:val="single"/>
        </w:rPr>
        <w:t>20</w:t>
      </w:r>
      <w:r>
        <w:rPr>
          <w:rFonts w:hint="eastAsia" w:ascii="仿宋" w:hAnsi="仿宋" w:eastAsia="仿宋" w:cs="仿宋"/>
          <w:color w:val="auto"/>
          <w:sz w:val="32"/>
          <w:szCs w:val="32"/>
        </w:rPr>
        <w:t>%转作受让宗地的定金。如竞买保证金不足以交纳定金，不足部分在交易系统确定成交之日起5个工作日内补齐；如竞买保证金转作定金后有剩余，余额转作宗地成交价款，定金可抵作宗地成交价款。本项目只接受以人民币缴交竞买保证金。</w:t>
      </w:r>
    </w:p>
    <w:p>
      <w:pPr>
        <w:pStyle w:val="3"/>
        <w:spacing w:line="56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未竞得人交纳的竞买保证金于电子挂牌交易活动结束之日起5个工作日内原路退还，不计利息。</w:t>
      </w:r>
    </w:p>
    <w:p>
      <w:pPr>
        <w:pStyle w:val="3"/>
        <w:spacing w:line="56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竞得人交纳的竞买保证金转付成交价款，竞得人应带齐如下相关资料到交易中心办理转付成交价款手续：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关于将竞买保证金转为土地成交价款的申请</w:t>
      </w:r>
      <w:r>
        <w:rPr>
          <w:rFonts w:hint="eastAsia" w:ascii="仿宋" w:hAnsi="仿宋" w:eastAsia="仿宋" w:cs="仿宋"/>
          <w:color w:val="auto"/>
          <w:sz w:val="32"/>
          <w:szCs w:val="32"/>
          <w:highlight w:val="none"/>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惠州市非税收入缴款通知；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rPr>
        <w:t>竞价结果通知书；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保证金转账凭证。</w:t>
      </w:r>
    </w:p>
    <w:p>
      <w:pPr>
        <w:pStyle w:val="3"/>
        <w:spacing w:line="560" w:lineRule="exact"/>
        <w:ind w:firstLine="643"/>
        <w:rPr>
          <w:rFonts w:ascii="仿宋" w:hAnsi="仿宋" w:eastAsia="仿宋" w:cs="华文仿宋"/>
          <w:b/>
          <w:bCs/>
          <w:color w:val="auto"/>
          <w:sz w:val="32"/>
          <w:szCs w:val="32"/>
        </w:rPr>
      </w:pPr>
      <w:r>
        <w:rPr>
          <w:rFonts w:hint="eastAsia" w:ascii="仿宋" w:hAnsi="仿宋" w:eastAsia="仿宋" w:cs="华文仿宋"/>
          <w:b/>
          <w:bCs/>
          <w:color w:val="auto"/>
          <w:sz w:val="32"/>
          <w:szCs w:val="32"/>
        </w:rPr>
        <w:t>十二、成交价款支付方式及期限</w:t>
      </w:r>
    </w:p>
    <w:p>
      <w:pPr>
        <w:spacing w:line="560" w:lineRule="exact"/>
        <w:ind w:firstLine="640" w:firstLineChars="200"/>
        <w:rPr>
          <w:rFonts w:hint="eastAsia" w:ascii="仿宋" w:hAnsi="仿宋" w:eastAsia="仿宋" w:cs="华文仿宋"/>
          <w:color w:val="auto"/>
          <w:kern w:val="2"/>
          <w:sz w:val="32"/>
          <w:szCs w:val="32"/>
          <w:lang w:val="en-US" w:eastAsia="zh-CN" w:bidi="ar-SA"/>
        </w:rPr>
      </w:pPr>
      <w:r>
        <w:rPr>
          <w:rFonts w:hint="eastAsia" w:ascii="仿宋" w:hAnsi="仿宋" w:eastAsia="仿宋" w:cs="华文仿宋"/>
          <w:color w:val="auto"/>
          <w:kern w:val="2"/>
          <w:sz w:val="32"/>
          <w:szCs w:val="32"/>
          <w:lang w:val="en-US" w:eastAsia="zh-CN" w:bidi="ar-SA"/>
        </w:rPr>
        <w:t>土地成交价款须以人民币支付,竞得人在签订出让合同之日起30日内一次性付清全部成交价款。</w:t>
      </w:r>
    </w:p>
    <w:p>
      <w:pPr>
        <w:pStyle w:val="3"/>
        <w:spacing w:line="560" w:lineRule="exact"/>
        <w:ind w:firstLine="640"/>
        <w:rPr>
          <w:rFonts w:hint="eastAsia" w:ascii="仿宋" w:hAnsi="仿宋" w:eastAsia="仿宋" w:cs="华文仿宋"/>
          <w:color w:val="auto"/>
          <w:kern w:val="2"/>
          <w:sz w:val="32"/>
          <w:szCs w:val="32"/>
          <w:lang w:val="en-US" w:eastAsia="zh-CN" w:bidi="ar-SA"/>
        </w:rPr>
      </w:pPr>
      <w:r>
        <w:rPr>
          <w:rFonts w:hint="eastAsia" w:ascii="仿宋" w:hAnsi="仿宋" w:eastAsia="仿宋" w:cs="华文仿宋"/>
          <w:color w:val="auto"/>
          <w:kern w:val="2"/>
          <w:sz w:val="32"/>
          <w:szCs w:val="32"/>
          <w:lang w:val="en-US" w:eastAsia="zh-CN" w:bidi="ar-SA"/>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pStyle w:val="3"/>
        <w:spacing w:line="560" w:lineRule="exact"/>
        <w:ind w:firstLine="643"/>
        <w:rPr>
          <w:rFonts w:hint="eastAsia" w:ascii="仿宋" w:hAnsi="仿宋" w:eastAsia="仿宋" w:cs="华文仿宋"/>
          <w:b/>
          <w:bCs/>
          <w:color w:val="auto"/>
          <w:sz w:val="32"/>
          <w:szCs w:val="32"/>
          <w:lang w:val="en-US" w:eastAsia="zh-CN"/>
        </w:rPr>
      </w:pPr>
      <w:r>
        <w:rPr>
          <w:rFonts w:hint="eastAsia" w:ascii="仿宋" w:hAnsi="仿宋" w:eastAsia="仿宋" w:cs="华文仿宋"/>
          <w:b/>
          <w:bCs/>
          <w:color w:val="auto"/>
          <w:sz w:val="32"/>
          <w:szCs w:val="32"/>
          <w:lang w:val="en-US" w:eastAsia="zh-CN"/>
        </w:rPr>
        <w:t>十三、违规责任</w:t>
      </w:r>
    </w:p>
    <w:p>
      <w:pPr>
        <w:pStyle w:val="3"/>
        <w:spacing w:line="560" w:lineRule="exact"/>
        <w:ind w:firstLine="643"/>
        <w:rPr>
          <w:rFonts w:hint="eastAsia" w:ascii="仿宋" w:hAnsi="仿宋" w:eastAsia="仿宋" w:cs="华文仿宋"/>
          <w:color w:val="auto"/>
          <w:kern w:val="2"/>
          <w:sz w:val="32"/>
          <w:szCs w:val="32"/>
          <w:lang w:val="en-US" w:eastAsia="zh-CN" w:bidi="ar-SA"/>
        </w:rPr>
      </w:pPr>
      <w:r>
        <w:rPr>
          <w:rFonts w:hint="eastAsia" w:ascii="仿宋" w:hAnsi="仿宋" w:eastAsia="仿宋" w:cs="华文仿宋"/>
          <w:color w:val="auto"/>
          <w:kern w:val="2"/>
          <w:sz w:val="32"/>
          <w:szCs w:val="32"/>
          <w:lang w:val="en-US" w:eastAsia="zh-CN" w:bidi="ar-SA"/>
        </w:rPr>
        <w:t>成交候选人（或竞得人）有下列行为之一的，取消成交候选人资格（或竞得人资格），竞价结果无效，竞买保证金不予退还，造成损失的，依照相关法律法规规定处理。</w:t>
      </w:r>
    </w:p>
    <w:p>
      <w:pPr>
        <w:pStyle w:val="3"/>
        <w:spacing w:line="560" w:lineRule="exact"/>
        <w:ind w:firstLine="643"/>
        <w:rPr>
          <w:rFonts w:hint="eastAsia" w:ascii="仿宋" w:hAnsi="仿宋" w:eastAsia="仿宋" w:cs="华文仿宋"/>
          <w:color w:val="auto"/>
          <w:kern w:val="2"/>
          <w:sz w:val="32"/>
          <w:szCs w:val="32"/>
          <w:lang w:val="en-US" w:eastAsia="zh-CN" w:bidi="ar-SA"/>
        </w:rPr>
      </w:pPr>
      <w:r>
        <w:rPr>
          <w:rFonts w:hint="eastAsia" w:ascii="仿宋" w:hAnsi="仿宋" w:eastAsia="仿宋" w:cs="华文仿宋"/>
          <w:color w:val="auto"/>
          <w:kern w:val="2"/>
          <w:sz w:val="32"/>
          <w:szCs w:val="32"/>
          <w:lang w:val="en-US" w:eastAsia="zh-CN" w:bidi="ar-SA"/>
        </w:rPr>
        <w:t>（一）不符合竞买资格条件的；</w:t>
      </w:r>
    </w:p>
    <w:p>
      <w:pPr>
        <w:pStyle w:val="3"/>
        <w:spacing w:line="560" w:lineRule="exact"/>
        <w:ind w:firstLine="643"/>
        <w:rPr>
          <w:rFonts w:hint="eastAsia" w:ascii="仿宋" w:hAnsi="仿宋" w:eastAsia="仿宋" w:cs="华文仿宋"/>
          <w:color w:val="auto"/>
          <w:kern w:val="2"/>
          <w:sz w:val="32"/>
          <w:szCs w:val="32"/>
          <w:lang w:val="en-US" w:eastAsia="zh-CN" w:bidi="ar-SA"/>
        </w:rPr>
      </w:pPr>
      <w:r>
        <w:rPr>
          <w:rFonts w:hint="eastAsia" w:ascii="仿宋" w:hAnsi="仿宋" w:eastAsia="仿宋" w:cs="华文仿宋"/>
          <w:color w:val="auto"/>
          <w:kern w:val="2"/>
          <w:sz w:val="32"/>
          <w:szCs w:val="32"/>
          <w:lang w:val="en-US" w:eastAsia="zh-CN" w:bidi="ar-SA"/>
        </w:rPr>
        <w:t>（二）提供虚假文件材料，隐瞒重要事实的；</w:t>
      </w:r>
    </w:p>
    <w:p>
      <w:pPr>
        <w:pStyle w:val="3"/>
        <w:spacing w:line="560" w:lineRule="exact"/>
        <w:ind w:firstLine="643"/>
        <w:rPr>
          <w:rFonts w:hint="eastAsia" w:ascii="仿宋" w:hAnsi="仿宋" w:eastAsia="仿宋" w:cs="华文仿宋"/>
          <w:color w:val="auto"/>
          <w:kern w:val="2"/>
          <w:sz w:val="32"/>
          <w:szCs w:val="32"/>
          <w:lang w:val="en-US" w:eastAsia="zh-CN" w:bidi="ar-SA"/>
        </w:rPr>
      </w:pPr>
      <w:r>
        <w:rPr>
          <w:rFonts w:hint="eastAsia" w:ascii="仿宋" w:hAnsi="仿宋" w:eastAsia="仿宋" w:cs="华文仿宋"/>
          <w:color w:val="auto"/>
          <w:kern w:val="2"/>
          <w:sz w:val="32"/>
          <w:szCs w:val="32"/>
          <w:lang w:val="en-US" w:eastAsia="zh-CN" w:bidi="ar-SA"/>
        </w:rPr>
        <w:t>（三）采取行贿、恶意串通等非法手段竞得的；</w:t>
      </w:r>
    </w:p>
    <w:p>
      <w:pPr>
        <w:pStyle w:val="3"/>
        <w:spacing w:line="560" w:lineRule="exact"/>
        <w:ind w:firstLine="643"/>
        <w:rPr>
          <w:rFonts w:hint="eastAsia" w:ascii="仿宋" w:hAnsi="仿宋" w:eastAsia="仿宋" w:cs="华文仿宋"/>
          <w:color w:val="auto"/>
          <w:kern w:val="2"/>
          <w:sz w:val="32"/>
          <w:szCs w:val="32"/>
          <w:lang w:val="en-US" w:eastAsia="zh-CN" w:bidi="ar-SA"/>
        </w:rPr>
      </w:pPr>
      <w:r>
        <w:rPr>
          <w:rFonts w:hint="eastAsia" w:ascii="仿宋" w:hAnsi="仿宋" w:eastAsia="仿宋" w:cs="华文仿宋"/>
          <w:color w:val="auto"/>
          <w:kern w:val="2"/>
          <w:sz w:val="32"/>
          <w:szCs w:val="32"/>
          <w:lang w:val="en-US" w:eastAsia="zh-CN" w:bidi="ar-SA"/>
        </w:rPr>
        <w:t>（四）无正当理由逾期或拒绝签订《成交确认书》的；</w:t>
      </w:r>
    </w:p>
    <w:p>
      <w:pPr>
        <w:pStyle w:val="3"/>
        <w:spacing w:line="560" w:lineRule="exact"/>
        <w:ind w:left="638" w:leftChars="304" w:firstLine="0" w:firstLineChars="0"/>
        <w:rPr>
          <w:rFonts w:hint="eastAsia" w:ascii="仿宋" w:hAnsi="仿宋" w:eastAsia="仿宋" w:cs="华文仿宋"/>
          <w:color w:val="auto"/>
          <w:kern w:val="2"/>
          <w:sz w:val="32"/>
          <w:szCs w:val="32"/>
          <w:lang w:val="en-US" w:eastAsia="zh-CN" w:bidi="ar-SA"/>
        </w:rPr>
      </w:pPr>
      <w:r>
        <w:rPr>
          <w:rFonts w:hint="eastAsia" w:ascii="仿宋" w:hAnsi="仿宋" w:eastAsia="仿宋" w:cs="华文仿宋"/>
          <w:color w:val="auto"/>
          <w:kern w:val="2"/>
          <w:sz w:val="32"/>
          <w:szCs w:val="32"/>
          <w:lang w:val="en-US" w:eastAsia="zh-CN" w:bidi="ar-SA"/>
        </w:rPr>
        <w:t>（五）无正当理由逾期或拒绝签订《出让合同》的。</w:t>
      </w:r>
    </w:p>
    <w:p>
      <w:pPr>
        <w:pStyle w:val="3"/>
        <w:spacing w:line="560" w:lineRule="exact"/>
        <w:ind w:left="638" w:leftChars="304" w:firstLine="0" w:firstLineChars="0"/>
        <w:rPr>
          <w:rFonts w:ascii="仿宋" w:hAnsi="仿宋" w:eastAsia="仿宋"/>
          <w:b/>
          <w:bCs/>
          <w:color w:val="auto"/>
          <w:sz w:val="32"/>
          <w:szCs w:val="32"/>
        </w:rPr>
      </w:pPr>
      <w:r>
        <w:rPr>
          <w:rFonts w:hint="eastAsia" w:ascii="仿宋" w:hAnsi="仿宋" w:eastAsia="仿宋"/>
          <w:b/>
          <w:bCs/>
          <w:color w:val="auto"/>
          <w:sz w:val="32"/>
          <w:szCs w:val="32"/>
        </w:rPr>
        <w:t>十四、其他需要公告的事项</w:t>
      </w:r>
    </w:p>
    <w:p>
      <w:pPr>
        <w:spacing w:line="560" w:lineRule="exact"/>
        <w:ind w:firstLine="640" w:firstLineChars="200"/>
        <w:rPr>
          <w:rFonts w:hint="eastAsia" w:ascii="仿宋" w:hAnsi="仿宋" w:eastAsia="仿宋" w:cs="华文仿宋"/>
          <w:color w:val="auto"/>
          <w:sz w:val="32"/>
          <w:szCs w:val="32"/>
        </w:rPr>
      </w:pPr>
      <w:r>
        <w:rPr>
          <w:rFonts w:hint="eastAsia" w:ascii="仿宋" w:hAnsi="仿宋" w:eastAsia="仿宋" w:cs="华文仿宋"/>
          <w:color w:val="auto"/>
          <w:sz w:val="32"/>
          <w:szCs w:val="32"/>
        </w:rPr>
        <w:t>（一）本宗地网上挂牌出让的详细资料和具体要求，电子交易系统网站(https://tdky.hzggzyjy.cn/)查询。申请人可在电子交易系统下载挂牌出让公告、须知及相关交易文件。</w:t>
      </w:r>
    </w:p>
    <w:p>
      <w:pPr>
        <w:spacing w:line="560" w:lineRule="exact"/>
        <w:ind w:firstLine="640" w:firstLineChars="200"/>
        <w:rPr>
          <w:rFonts w:hint="eastAsia" w:ascii="仿宋" w:hAnsi="仿宋" w:eastAsia="仿宋" w:cs="华文仿宋"/>
          <w:color w:val="auto"/>
          <w:sz w:val="32"/>
          <w:szCs w:val="32"/>
        </w:rPr>
      </w:pPr>
      <w:r>
        <w:rPr>
          <w:rFonts w:hint="eastAsia" w:ascii="仿宋" w:hAnsi="仿宋" w:eastAsia="仿宋" w:cs="华文仿宋"/>
          <w:color w:val="auto"/>
          <w:sz w:val="32"/>
          <w:szCs w:val="32"/>
        </w:rPr>
        <w:t>（二）有意竞买者可以自行到地块现场踏勘（可在网上电子交易系统查阅位置图和现状图）。</w:t>
      </w:r>
    </w:p>
    <w:p>
      <w:pPr>
        <w:spacing w:line="560" w:lineRule="exact"/>
        <w:ind w:firstLine="640" w:firstLineChars="200"/>
        <w:rPr>
          <w:rFonts w:hint="eastAsia" w:ascii="仿宋" w:hAnsi="仿宋" w:eastAsia="仿宋" w:cs="华文仿宋"/>
          <w:color w:val="auto"/>
          <w:sz w:val="32"/>
          <w:szCs w:val="32"/>
        </w:rPr>
      </w:pPr>
      <w:r>
        <w:rPr>
          <w:rFonts w:hint="eastAsia" w:ascii="仿宋" w:hAnsi="仿宋" w:eastAsia="仿宋" w:cs="华文仿宋"/>
          <w:color w:val="auto"/>
          <w:sz w:val="32"/>
          <w:szCs w:val="32"/>
        </w:rPr>
        <w:t>（三）竞买申请一经受理确认后，即视为竞买人对网上挂牌出让公告、须知、相关交易文件及地块现状无异议并全部接受，并对有关承诺承担法律责任。</w:t>
      </w:r>
    </w:p>
    <w:p>
      <w:pPr>
        <w:spacing w:line="560" w:lineRule="exact"/>
        <w:ind w:firstLine="640" w:firstLineChars="200"/>
        <w:rPr>
          <w:rFonts w:hint="eastAsia" w:ascii="仿宋" w:hAnsi="仿宋" w:eastAsia="仿宋" w:cs="华文仿宋"/>
          <w:color w:val="auto"/>
          <w:sz w:val="32"/>
          <w:szCs w:val="32"/>
        </w:rPr>
      </w:pPr>
      <w:r>
        <w:rPr>
          <w:rFonts w:hint="eastAsia" w:ascii="仿宋" w:hAnsi="仿宋" w:eastAsia="仿宋" w:cs="华文仿宋"/>
          <w:color w:val="auto"/>
          <w:sz w:val="32"/>
          <w:szCs w:val="32"/>
        </w:rPr>
        <w:t>（四）地块动工竣工时间及地块交付时间</w:t>
      </w:r>
    </w:p>
    <w:p>
      <w:pPr>
        <w:spacing w:line="560" w:lineRule="exact"/>
        <w:ind w:firstLine="640" w:firstLineChars="200"/>
        <w:rPr>
          <w:rFonts w:hint="eastAsia" w:ascii="仿宋" w:hAnsi="仿宋" w:eastAsia="仿宋" w:cs="华文仿宋"/>
          <w:color w:val="auto"/>
          <w:sz w:val="32"/>
          <w:szCs w:val="32"/>
        </w:rPr>
      </w:pPr>
      <w:r>
        <w:rPr>
          <w:rFonts w:hint="eastAsia" w:ascii="仿宋" w:hAnsi="仿宋" w:eastAsia="仿宋" w:cs="华文仿宋"/>
          <w:color w:val="auto"/>
          <w:sz w:val="32"/>
          <w:szCs w:val="32"/>
        </w:rPr>
        <w:t>1、交付土地之日起</w:t>
      </w:r>
      <w:r>
        <w:rPr>
          <w:rFonts w:hint="eastAsia" w:ascii="仿宋" w:hAnsi="仿宋" w:eastAsia="仿宋" w:cs="华文仿宋"/>
          <w:color w:val="auto"/>
          <w:sz w:val="32"/>
          <w:szCs w:val="32"/>
          <w:lang w:val="en-US" w:eastAsia="zh-CN"/>
        </w:rPr>
        <w:t>6</w:t>
      </w:r>
      <w:r>
        <w:rPr>
          <w:rFonts w:hint="eastAsia" w:ascii="仿宋" w:hAnsi="仿宋" w:eastAsia="仿宋" w:cs="华文仿宋"/>
          <w:color w:val="auto"/>
          <w:sz w:val="32"/>
          <w:szCs w:val="32"/>
        </w:rPr>
        <w:t>个月内动工建设，动工之日起</w:t>
      </w:r>
      <w:r>
        <w:rPr>
          <w:rFonts w:hint="eastAsia" w:ascii="仿宋" w:hAnsi="仿宋" w:eastAsia="仿宋" w:cs="华文仿宋"/>
          <w:color w:val="auto"/>
          <w:sz w:val="32"/>
          <w:szCs w:val="32"/>
          <w:lang w:val="en-US" w:eastAsia="zh-CN"/>
        </w:rPr>
        <w:t>24</w:t>
      </w:r>
      <w:r>
        <w:rPr>
          <w:rFonts w:hint="eastAsia" w:ascii="仿宋" w:hAnsi="仿宋" w:eastAsia="仿宋" w:cs="华文仿宋"/>
          <w:color w:val="auto"/>
          <w:sz w:val="32"/>
          <w:szCs w:val="32"/>
        </w:rPr>
        <w:t>个月内竣工（不可抗力原因除外）；</w:t>
      </w:r>
    </w:p>
    <w:p>
      <w:pPr>
        <w:spacing w:line="560" w:lineRule="exact"/>
        <w:ind w:firstLine="640" w:firstLineChars="200"/>
        <w:rPr>
          <w:rFonts w:hint="eastAsia" w:ascii="仿宋" w:hAnsi="仿宋" w:eastAsia="仿宋" w:cs="华文仿宋"/>
          <w:color w:val="auto"/>
          <w:sz w:val="32"/>
          <w:szCs w:val="32"/>
        </w:rPr>
      </w:pPr>
      <w:r>
        <w:rPr>
          <w:rFonts w:hint="eastAsia" w:ascii="仿宋" w:hAnsi="仿宋" w:eastAsia="仿宋" w:cs="华文仿宋"/>
          <w:color w:val="auto"/>
          <w:sz w:val="32"/>
          <w:szCs w:val="32"/>
        </w:rPr>
        <w:t>2、竞得人在签订出让合同</w:t>
      </w:r>
      <w:r>
        <w:rPr>
          <w:rFonts w:hint="eastAsia" w:ascii="仿宋" w:hAnsi="仿宋" w:eastAsia="仿宋" w:cs="华文仿宋"/>
          <w:color w:val="auto"/>
          <w:sz w:val="32"/>
          <w:szCs w:val="32"/>
          <w:lang w:val="en-US" w:eastAsia="zh-CN"/>
        </w:rPr>
        <w:t>30日</w:t>
      </w:r>
      <w:r>
        <w:rPr>
          <w:rFonts w:hint="eastAsia" w:ascii="仿宋" w:hAnsi="仿宋" w:eastAsia="仿宋" w:cs="华文仿宋"/>
          <w:color w:val="auto"/>
          <w:sz w:val="32"/>
          <w:szCs w:val="32"/>
        </w:rPr>
        <w:t>内办理交地手续，凭《交地确认书》、《出让合同》（正本）和地价款交款凭证等申请办理土地初始登记，领取《不动产权证书》。</w:t>
      </w:r>
    </w:p>
    <w:p>
      <w:pPr>
        <w:spacing w:line="560" w:lineRule="exact"/>
        <w:ind w:firstLine="640" w:firstLineChars="200"/>
        <w:rPr>
          <w:rFonts w:hint="eastAsia" w:ascii="仿宋" w:hAnsi="仿宋" w:eastAsia="仿宋" w:cs="华文仿宋"/>
          <w:color w:val="auto"/>
          <w:sz w:val="32"/>
          <w:szCs w:val="32"/>
        </w:rPr>
      </w:pPr>
      <w:r>
        <w:rPr>
          <w:rFonts w:hint="eastAsia" w:ascii="仿宋" w:hAnsi="仿宋" w:eastAsia="仿宋" w:cs="华文仿宋"/>
          <w:color w:val="auto"/>
          <w:sz w:val="32"/>
          <w:szCs w:val="32"/>
        </w:rPr>
        <w:t>（五）土地开发及使用规定</w:t>
      </w:r>
    </w:p>
    <w:p>
      <w:pPr>
        <w:pStyle w:val="11"/>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 w:hAnsi="仿宋" w:eastAsia="仿宋" w:cs="华文仿宋"/>
          <w:color w:val="auto"/>
          <w:sz w:val="32"/>
          <w:szCs w:val="32"/>
          <w:lang w:val="en-US" w:eastAsia="zh-CN"/>
        </w:rPr>
      </w:pPr>
      <w:r>
        <w:rPr>
          <w:rFonts w:hint="eastAsia" w:ascii="仿宋" w:hAnsi="仿宋" w:eastAsia="仿宋" w:cs="华文仿宋"/>
          <w:color w:val="auto"/>
          <w:sz w:val="32"/>
          <w:szCs w:val="32"/>
          <w:lang w:val="en-US" w:eastAsia="zh-CN"/>
        </w:rPr>
        <w:t>1、项目准入要求：(1)</w:t>
      </w:r>
      <w:r>
        <w:rPr>
          <w:rFonts w:hint="eastAsia" w:ascii="仿宋" w:hAnsi="仿宋" w:eastAsia="仿宋" w:cs="华文仿宋"/>
          <w:color w:val="auto"/>
          <w:sz w:val="32"/>
          <w:szCs w:val="32"/>
          <w:lang w:val="en-GB" w:eastAsia="zh-CN"/>
        </w:rPr>
        <w:t>产业类型为</w:t>
      </w:r>
      <w:r>
        <w:rPr>
          <w:rFonts w:hint="eastAsia" w:ascii="仿宋" w:hAnsi="仿宋" w:eastAsia="仿宋" w:cs="华文仿宋"/>
          <w:color w:val="auto"/>
          <w:sz w:val="32"/>
          <w:szCs w:val="32"/>
          <w:lang w:val="en-US" w:eastAsia="zh-CN"/>
        </w:rPr>
        <w:t>其他生产性服务业</w:t>
      </w:r>
      <w:r>
        <w:rPr>
          <w:rFonts w:hint="eastAsia" w:ascii="仿宋" w:hAnsi="仿宋" w:eastAsia="仿宋" w:cs="华文仿宋"/>
          <w:color w:val="auto"/>
          <w:sz w:val="32"/>
          <w:szCs w:val="32"/>
          <w:lang w:val="en-GB" w:eastAsia="zh-CN"/>
        </w:rPr>
        <w:t>；</w:t>
      </w:r>
      <w:r>
        <w:rPr>
          <w:rFonts w:hint="eastAsia" w:ascii="仿宋" w:hAnsi="仿宋" w:eastAsia="仿宋" w:cs="华文仿宋"/>
          <w:color w:val="auto"/>
          <w:sz w:val="32"/>
          <w:szCs w:val="32"/>
          <w:lang w:val="en-US" w:eastAsia="zh-CN"/>
        </w:rPr>
        <w:t>(2)</w:t>
      </w:r>
      <w:r>
        <w:rPr>
          <w:rFonts w:hint="eastAsia" w:ascii="仿宋" w:hAnsi="仿宋" w:eastAsia="仿宋" w:cs="华文仿宋"/>
          <w:color w:val="auto"/>
          <w:sz w:val="32"/>
          <w:szCs w:val="32"/>
          <w:lang w:val="en-GB" w:eastAsia="zh-CN"/>
        </w:rPr>
        <w:t>投资强度≥</w:t>
      </w:r>
      <w:r>
        <w:rPr>
          <w:rFonts w:hint="eastAsia" w:ascii="仿宋" w:hAnsi="仿宋" w:eastAsia="仿宋" w:cs="华文仿宋"/>
          <w:color w:val="auto"/>
          <w:sz w:val="32"/>
          <w:szCs w:val="32"/>
          <w:lang w:val="en-US" w:eastAsia="zh-CN"/>
        </w:rPr>
        <w:t>6000</w:t>
      </w:r>
      <w:bookmarkStart w:id="0" w:name="OLE_LINK6"/>
      <w:r>
        <w:rPr>
          <w:rFonts w:hint="eastAsia" w:ascii="仿宋" w:hAnsi="仿宋" w:eastAsia="仿宋" w:cs="华文仿宋"/>
          <w:color w:val="auto"/>
          <w:sz w:val="32"/>
          <w:szCs w:val="32"/>
          <w:lang w:val="en-US" w:eastAsia="zh-CN"/>
        </w:rPr>
        <w:t>元/平方米</w:t>
      </w:r>
      <w:bookmarkEnd w:id="0"/>
      <w:r>
        <w:rPr>
          <w:rFonts w:hint="eastAsia" w:ascii="仿宋" w:hAnsi="仿宋" w:eastAsia="仿宋" w:cs="华文仿宋"/>
          <w:color w:val="auto"/>
          <w:sz w:val="32"/>
          <w:szCs w:val="32"/>
          <w:lang w:val="en-GB" w:eastAsia="zh-CN"/>
        </w:rPr>
        <w:t>；</w:t>
      </w:r>
      <w:r>
        <w:rPr>
          <w:rFonts w:hint="eastAsia" w:ascii="仿宋" w:hAnsi="仿宋" w:eastAsia="仿宋" w:cs="华文仿宋"/>
          <w:color w:val="auto"/>
          <w:sz w:val="32"/>
          <w:szCs w:val="32"/>
          <w:lang w:val="en-US" w:eastAsia="zh-CN"/>
        </w:rPr>
        <w:t>(3)</w:t>
      </w:r>
      <w:r>
        <w:rPr>
          <w:rFonts w:hint="eastAsia" w:ascii="仿宋" w:hAnsi="仿宋" w:eastAsia="仿宋" w:cs="华文仿宋"/>
          <w:color w:val="auto"/>
          <w:sz w:val="32"/>
          <w:szCs w:val="32"/>
          <w:lang w:val="en-GB" w:eastAsia="zh-CN"/>
        </w:rPr>
        <w:t>单位产值≥</w:t>
      </w:r>
      <w:r>
        <w:rPr>
          <w:rFonts w:hint="eastAsia" w:ascii="仿宋" w:hAnsi="仿宋" w:eastAsia="仿宋" w:cs="华文仿宋"/>
          <w:color w:val="auto"/>
          <w:sz w:val="32"/>
          <w:szCs w:val="32"/>
          <w:lang w:val="en-US" w:eastAsia="zh-CN"/>
        </w:rPr>
        <w:t>10000元/平方米</w:t>
      </w:r>
      <w:r>
        <w:rPr>
          <w:rFonts w:hint="eastAsia" w:ascii="仿宋" w:hAnsi="仿宋" w:eastAsia="仿宋" w:cs="华文仿宋"/>
          <w:color w:val="auto"/>
          <w:sz w:val="32"/>
          <w:szCs w:val="32"/>
          <w:lang w:val="en-GB" w:eastAsia="zh-CN"/>
        </w:rPr>
        <w:t>；</w:t>
      </w:r>
      <w:r>
        <w:rPr>
          <w:rFonts w:hint="eastAsia" w:ascii="仿宋" w:hAnsi="仿宋" w:eastAsia="仿宋" w:cs="华文仿宋"/>
          <w:color w:val="auto"/>
          <w:sz w:val="32"/>
          <w:szCs w:val="32"/>
          <w:lang w:val="en-US" w:eastAsia="zh-CN"/>
        </w:rPr>
        <w:t>(4)</w:t>
      </w:r>
      <w:r>
        <w:rPr>
          <w:rFonts w:hint="eastAsia" w:ascii="仿宋" w:hAnsi="仿宋" w:eastAsia="仿宋" w:cs="华文仿宋"/>
          <w:color w:val="auto"/>
          <w:sz w:val="32"/>
          <w:szCs w:val="32"/>
          <w:lang w:val="en-GB" w:eastAsia="zh-CN"/>
        </w:rPr>
        <w:t>单位税贡≥</w:t>
      </w:r>
      <w:r>
        <w:rPr>
          <w:rFonts w:hint="eastAsia" w:ascii="仿宋" w:hAnsi="仿宋" w:eastAsia="仿宋" w:cs="华文仿宋"/>
          <w:color w:val="auto"/>
          <w:sz w:val="32"/>
          <w:szCs w:val="32"/>
          <w:lang w:val="en-US" w:eastAsia="zh-CN"/>
        </w:rPr>
        <w:t>500元/平方米</w:t>
      </w:r>
      <w:r>
        <w:rPr>
          <w:rFonts w:hint="eastAsia" w:ascii="仿宋" w:hAnsi="仿宋" w:eastAsia="仿宋" w:cs="华文仿宋"/>
          <w:color w:val="auto"/>
          <w:sz w:val="32"/>
          <w:szCs w:val="32"/>
          <w:lang w:val="en-GB" w:eastAsia="zh-CN"/>
        </w:rPr>
        <w:t>；</w:t>
      </w:r>
      <w:r>
        <w:rPr>
          <w:rFonts w:hint="eastAsia" w:ascii="仿宋" w:hAnsi="仿宋" w:eastAsia="仿宋" w:cs="华文仿宋"/>
          <w:color w:val="auto"/>
          <w:sz w:val="32"/>
          <w:szCs w:val="32"/>
          <w:lang w:val="en-US" w:eastAsia="zh-CN"/>
        </w:rPr>
        <w:t>(5)非生产设施占地比例：</w:t>
      </w:r>
      <w:r>
        <w:rPr>
          <w:rFonts w:hint="eastAsia" w:ascii="仿宋" w:hAnsi="仿宋" w:eastAsia="仿宋" w:cs="华文仿宋"/>
          <w:color w:val="auto"/>
          <w:sz w:val="32"/>
          <w:szCs w:val="32"/>
          <w:lang w:val="en-GB" w:eastAsia="zh-CN"/>
        </w:rPr>
        <w:t>行政办公及生活配套设施用地面积不得超过宗地总用地面积</w:t>
      </w:r>
      <w:r>
        <w:rPr>
          <w:rFonts w:hint="eastAsia" w:ascii="仿宋" w:hAnsi="仿宋" w:eastAsia="仿宋" w:cs="华文仿宋"/>
          <w:color w:val="auto"/>
          <w:sz w:val="32"/>
          <w:szCs w:val="32"/>
          <w:lang w:val="en-US" w:eastAsia="zh-CN"/>
        </w:rPr>
        <w:t>7</w:t>
      </w:r>
      <w:r>
        <w:rPr>
          <w:rFonts w:hint="eastAsia" w:ascii="仿宋" w:hAnsi="仿宋" w:eastAsia="仿宋" w:cs="华文仿宋"/>
          <w:color w:val="auto"/>
          <w:sz w:val="32"/>
          <w:szCs w:val="32"/>
          <w:lang w:val="en-GB" w:eastAsia="zh-CN"/>
        </w:rPr>
        <w:t>%。</w:t>
      </w:r>
    </w:p>
    <w:p>
      <w:pPr>
        <w:spacing w:line="560" w:lineRule="exact"/>
        <w:ind w:firstLine="640" w:firstLineChars="200"/>
        <w:rPr>
          <w:rFonts w:hint="eastAsia" w:ascii="仿宋" w:hAnsi="仿宋" w:eastAsia="仿宋" w:cs="华文仿宋"/>
          <w:color w:val="auto"/>
          <w:sz w:val="32"/>
          <w:szCs w:val="32"/>
          <w:lang w:val="en-US" w:eastAsia="zh-CN"/>
        </w:rPr>
      </w:pPr>
      <w:r>
        <w:rPr>
          <w:rFonts w:hint="eastAsia" w:ascii="仿宋" w:hAnsi="仿宋" w:eastAsia="仿宋" w:cs="华文仿宋"/>
          <w:color w:val="auto"/>
          <w:sz w:val="32"/>
          <w:szCs w:val="32"/>
          <w:lang w:val="en-US" w:eastAsia="zh-CN"/>
        </w:rPr>
        <w:t>2、</w:t>
      </w:r>
      <w:r>
        <w:rPr>
          <w:rFonts w:hint="eastAsia" w:ascii="仿宋" w:hAnsi="仿宋" w:eastAsia="仿宋" w:cs="华文仿宋"/>
          <w:color w:val="auto"/>
          <w:sz w:val="32"/>
          <w:szCs w:val="32"/>
          <w:lang w:val="en-GB" w:eastAsia="zh-CN"/>
        </w:rPr>
        <w:t>竞得人在用地红线内开发建设必须符合城市规划要求，必须按《规划条件告知书》（案卷编号：TJ〔202</w:t>
      </w:r>
      <w:r>
        <w:rPr>
          <w:rFonts w:hint="eastAsia" w:ascii="仿宋" w:hAnsi="仿宋" w:eastAsia="仿宋" w:cs="华文仿宋"/>
          <w:color w:val="auto"/>
          <w:sz w:val="32"/>
          <w:szCs w:val="32"/>
          <w:lang w:val="en-US" w:eastAsia="zh-CN"/>
        </w:rPr>
        <w:t>5</w:t>
      </w:r>
      <w:r>
        <w:rPr>
          <w:rFonts w:hint="eastAsia" w:ascii="仿宋" w:hAnsi="仿宋" w:eastAsia="仿宋" w:cs="华文仿宋"/>
          <w:color w:val="auto"/>
          <w:sz w:val="32"/>
          <w:szCs w:val="32"/>
          <w:lang w:val="en-GB" w:eastAsia="zh-CN"/>
        </w:rPr>
        <w:t>〕</w:t>
      </w:r>
      <w:r>
        <w:rPr>
          <w:rFonts w:hint="eastAsia" w:ascii="仿宋" w:hAnsi="仿宋" w:eastAsia="仿宋" w:cs="华文仿宋"/>
          <w:color w:val="auto"/>
          <w:sz w:val="32"/>
          <w:szCs w:val="32"/>
          <w:lang w:val="en-US" w:eastAsia="zh-CN"/>
        </w:rPr>
        <w:t>031</w:t>
      </w:r>
      <w:r>
        <w:rPr>
          <w:rFonts w:hint="eastAsia" w:ascii="仿宋" w:hAnsi="仿宋" w:eastAsia="仿宋" w:cs="华文仿宋"/>
          <w:color w:val="auto"/>
          <w:sz w:val="32"/>
          <w:szCs w:val="32"/>
          <w:lang w:val="en-GB" w:eastAsia="zh-CN"/>
        </w:rPr>
        <w:t>）规划控制指标要求及有关规定进行规划设计。</w:t>
      </w:r>
    </w:p>
    <w:p>
      <w:pPr>
        <w:spacing w:line="560" w:lineRule="exact"/>
        <w:ind w:firstLine="640" w:firstLineChars="200"/>
        <w:rPr>
          <w:rFonts w:hint="eastAsia" w:ascii="仿宋" w:hAnsi="仿宋" w:eastAsia="仿宋" w:cs="华文仿宋"/>
          <w:color w:val="auto"/>
          <w:sz w:val="32"/>
          <w:szCs w:val="32"/>
          <w:lang w:val="en-US" w:eastAsia="zh-CN"/>
        </w:rPr>
      </w:pPr>
      <w:r>
        <w:rPr>
          <w:rFonts w:hint="eastAsia" w:ascii="仿宋" w:hAnsi="仿宋" w:eastAsia="仿宋" w:cs="华文仿宋"/>
          <w:color w:val="auto"/>
          <w:sz w:val="32"/>
          <w:szCs w:val="32"/>
          <w:lang w:val="en-US" w:eastAsia="zh-CN"/>
        </w:rPr>
        <w:t>3、上述用地需按规定落实绿色建筑相关要求。</w:t>
      </w:r>
    </w:p>
    <w:p>
      <w:pPr>
        <w:spacing w:line="560" w:lineRule="exact"/>
        <w:ind w:firstLine="640" w:firstLineChars="200"/>
        <w:rPr>
          <w:rFonts w:hint="eastAsia" w:ascii="仿宋" w:hAnsi="仿宋" w:eastAsia="仿宋" w:cs="华文仿宋"/>
          <w:color w:val="auto"/>
          <w:sz w:val="32"/>
          <w:szCs w:val="32"/>
          <w:lang w:val="en-GB"/>
        </w:rPr>
      </w:pPr>
      <w:r>
        <w:rPr>
          <w:rFonts w:hint="eastAsia" w:ascii="仿宋" w:hAnsi="仿宋" w:eastAsia="仿宋" w:cs="华文仿宋"/>
          <w:color w:val="auto"/>
          <w:sz w:val="32"/>
          <w:szCs w:val="32"/>
          <w:lang w:val="en-US" w:eastAsia="zh-CN"/>
        </w:rPr>
        <w:t>4</w:t>
      </w:r>
      <w:r>
        <w:rPr>
          <w:rFonts w:hint="eastAsia" w:ascii="仿宋" w:hAnsi="仿宋" w:eastAsia="仿宋" w:cs="华文仿宋"/>
          <w:color w:val="auto"/>
          <w:sz w:val="32"/>
          <w:szCs w:val="32"/>
          <w:lang w:val="en-GB"/>
        </w:rPr>
        <w:t>、交付条件和时</w:t>
      </w:r>
      <w:r>
        <w:rPr>
          <w:rFonts w:hint="eastAsia" w:ascii="仿宋" w:hAnsi="仿宋" w:eastAsia="仿宋" w:cs="华文仿宋"/>
          <w:color w:val="auto"/>
          <w:sz w:val="32"/>
          <w:szCs w:val="32"/>
          <w:lang w:val="en-US" w:eastAsia="zh-CN"/>
        </w:rPr>
        <w:t>间：该宗地按现状条件网上挂牌出让并交付土地。</w:t>
      </w:r>
    </w:p>
    <w:p>
      <w:pPr>
        <w:spacing w:line="560" w:lineRule="exact"/>
        <w:ind w:firstLine="640" w:firstLineChars="200"/>
        <w:rPr>
          <w:rFonts w:hint="eastAsia" w:ascii="仿宋" w:hAnsi="仿宋" w:eastAsia="仿宋" w:cs="华文仿宋"/>
          <w:color w:val="auto"/>
          <w:sz w:val="32"/>
          <w:szCs w:val="32"/>
          <w:lang w:val="en-GB"/>
        </w:rPr>
      </w:pPr>
      <w:r>
        <w:rPr>
          <w:rFonts w:hint="eastAsia" w:ascii="仿宋" w:hAnsi="仿宋" w:eastAsia="仿宋" w:cs="华文仿宋"/>
          <w:color w:val="auto"/>
          <w:sz w:val="32"/>
          <w:szCs w:val="32"/>
          <w:lang w:val="en-GB"/>
        </w:rPr>
        <w:t>（六）该宗地交易全程适用《惠州市公共资源电子交易规则》（惠市政数〔2025〕13号）。</w:t>
      </w:r>
    </w:p>
    <w:p>
      <w:pPr>
        <w:spacing w:line="560" w:lineRule="exact"/>
        <w:ind w:firstLine="640" w:firstLineChars="200"/>
        <w:rPr>
          <w:rFonts w:hint="eastAsia" w:ascii="仿宋" w:hAnsi="仿宋" w:eastAsia="仿宋" w:cs="华文仿宋"/>
          <w:color w:val="auto"/>
          <w:sz w:val="32"/>
          <w:szCs w:val="32"/>
          <w:lang w:val="en-GB"/>
        </w:rPr>
      </w:pPr>
      <w:r>
        <w:rPr>
          <w:rFonts w:hint="eastAsia" w:ascii="仿宋" w:hAnsi="仿宋" w:eastAsia="仿宋" w:cs="华文仿宋"/>
          <w:color w:val="auto"/>
          <w:sz w:val="32"/>
          <w:szCs w:val="32"/>
          <w:lang w:val="en-GB"/>
        </w:rPr>
        <w:t>（七）挂牌出让价款不含应由竞得人缴纳的契税、印花税等有关费用，竞得人除缴交成交地价款外，还需按规定缴交契税等有关税费。</w:t>
      </w:r>
    </w:p>
    <w:p>
      <w:pPr>
        <w:spacing w:line="560" w:lineRule="exact"/>
        <w:ind w:firstLine="640" w:firstLineChars="200"/>
        <w:rPr>
          <w:rFonts w:hint="eastAsia" w:ascii="仿宋" w:hAnsi="仿宋" w:eastAsia="仿宋" w:cs="华文仿宋"/>
          <w:color w:val="auto"/>
          <w:sz w:val="32"/>
          <w:szCs w:val="32"/>
          <w:lang w:val="en-US" w:eastAsia="zh-CN"/>
        </w:rPr>
      </w:pPr>
      <w:r>
        <w:rPr>
          <w:rFonts w:hint="eastAsia" w:ascii="仿宋" w:hAnsi="仿宋" w:eastAsia="仿宋" w:cs="华文仿宋"/>
          <w:color w:val="auto"/>
          <w:sz w:val="32"/>
          <w:szCs w:val="32"/>
          <w:lang w:val="en-GB"/>
        </w:rPr>
        <w:t>（</w:t>
      </w:r>
      <w:r>
        <w:rPr>
          <w:rFonts w:hint="eastAsia" w:ascii="仿宋" w:hAnsi="仿宋" w:eastAsia="仿宋" w:cs="华文仿宋"/>
          <w:color w:val="auto"/>
          <w:sz w:val="32"/>
          <w:szCs w:val="32"/>
          <w:lang w:val="en-US" w:eastAsia="zh-CN"/>
        </w:rPr>
        <w:t>八</w:t>
      </w:r>
      <w:r>
        <w:rPr>
          <w:rFonts w:hint="eastAsia" w:ascii="仿宋" w:hAnsi="仿宋" w:eastAsia="仿宋" w:cs="华文仿宋"/>
          <w:color w:val="auto"/>
          <w:sz w:val="32"/>
          <w:szCs w:val="32"/>
          <w:lang w:val="en-GB"/>
        </w:rPr>
        <w:t>）</w:t>
      </w:r>
      <w:r>
        <w:rPr>
          <w:rFonts w:hint="eastAsia" w:ascii="仿宋" w:hAnsi="仿宋" w:eastAsia="仿宋" w:cs="华文仿宋"/>
          <w:color w:val="auto"/>
          <w:sz w:val="32"/>
          <w:szCs w:val="32"/>
          <w:lang w:val="en-US" w:eastAsia="zh-CN"/>
        </w:rPr>
        <w:t>如相邻地块由同一建设单位统一开发建设时，可取消地块间建筑红线，但须满足相关建筑退让要求。</w:t>
      </w:r>
    </w:p>
    <w:p>
      <w:pPr>
        <w:pStyle w:val="7"/>
        <w:widowControl/>
        <w:ind w:firstLine="555"/>
        <w:rPr>
          <w:rFonts w:ascii="仿宋" w:hAnsi="仿宋" w:eastAsia="仿宋"/>
          <w:b/>
          <w:bCs/>
          <w:color w:val="auto"/>
          <w:kern w:val="2"/>
          <w:sz w:val="32"/>
          <w:szCs w:val="32"/>
        </w:rPr>
      </w:pPr>
      <w:r>
        <w:rPr>
          <w:rFonts w:hint="eastAsia" w:ascii="仿宋" w:hAnsi="仿宋" w:eastAsia="仿宋"/>
          <w:b/>
          <w:bCs/>
          <w:color w:val="auto"/>
          <w:kern w:val="2"/>
          <w:sz w:val="32"/>
          <w:szCs w:val="32"/>
        </w:rPr>
        <w:t>十五、联系方式：</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出让方：惠州市自然资源局大亚湾经济技术开发区分局</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联系地址：惠州市大亚湾区北澳大道2号</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联系人：</w:t>
      </w:r>
      <w:r>
        <w:rPr>
          <w:rFonts w:hint="eastAsia" w:ascii="仿宋" w:hAnsi="仿宋" w:eastAsia="仿宋" w:cs="仿宋"/>
          <w:color w:val="auto"/>
          <w:kern w:val="0"/>
          <w:sz w:val="32"/>
          <w:szCs w:val="32"/>
          <w:lang w:val="en-US" w:eastAsia="zh-CN"/>
        </w:rPr>
        <w:t>陈工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联系电话：0752-5577823</w:t>
      </w: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ascii="仿宋" w:hAnsi="仿宋" w:eastAsia="仿宋" w:cs="仿宋"/>
          <w:color w:val="auto"/>
          <w:sz w:val="32"/>
          <w:szCs w:val="32"/>
        </w:rPr>
      </w:pPr>
      <w:r>
        <w:rPr>
          <w:rFonts w:hint="eastAsia" w:ascii="仿宋" w:hAnsi="仿宋" w:eastAsia="仿宋" w:cs="仿宋"/>
          <w:color w:val="auto"/>
          <w:sz w:val="32"/>
          <w:szCs w:val="32"/>
        </w:rPr>
        <w:t>交易机构：惠州市公共资源交易中心大亚湾分中心</w:t>
      </w: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ascii="仿宋" w:hAnsi="仿宋" w:eastAsia="仿宋" w:cs="仿宋"/>
          <w:color w:val="auto"/>
          <w:sz w:val="32"/>
          <w:szCs w:val="32"/>
        </w:rPr>
      </w:pPr>
      <w:r>
        <w:rPr>
          <w:rFonts w:hint="eastAsia" w:ascii="仿宋" w:hAnsi="仿宋" w:eastAsia="仿宋" w:cs="仿宋"/>
          <w:color w:val="auto"/>
          <w:sz w:val="32"/>
          <w:szCs w:val="32"/>
        </w:rPr>
        <w:t>联系地址：惠州市大亚湾区科技创新园创新大厦三楼</w:t>
      </w: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联系人：李</w:t>
      </w:r>
      <w:r>
        <w:rPr>
          <w:rFonts w:hint="eastAsia" w:ascii="仿宋" w:hAnsi="仿宋" w:eastAsia="仿宋" w:cs="仿宋"/>
          <w:color w:val="auto"/>
          <w:sz w:val="32"/>
          <w:szCs w:val="32"/>
          <w:lang w:val="en-US" w:eastAsia="zh-CN"/>
        </w:rPr>
        <w:t>工</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曾工</w:t>
      </w: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ascii="仿宋" w:hAnsi="仿宋" w:eastAsia="仿宋" w:cs="仿宋"/>
          <w:color w:val="auto"/>
          <w:sz w:val="32"/>
          <w:szCs w:val="32"/>
        </w:rPr>
      </w:pPr>
      <w:r>
        <w:rPr>
          <w:rFonts w:hint="eastAsia" w:ascii="仿宋" w:hAnsi="仿宋" w:eastAsia="仿宋" w:cs="仿宋"/>
          <w:color w:val="auto"/>
          <w:sz w:val="32"/>
          <w:szCs w:val="32"/>
        </w:rPr>
        <w:t>联系电话：0752-5190887</w:t>
      </w: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ascii="仿宋" w:hAnsi="仿宋" w:eastAsia="仿宋" w:cs="仿宋"/>
          <w:color w:val="auto"/>
          <w:sz w:val="32"/>
          <w:szCs w:val="32"/>
        </w:rPr>
      </w:pPr>
      <w:r>
        <w:rPr>
          <w:rFonts w:hint="eastAsia" w:ascii="仿宋" w:hAnsi="仿宋" w:eastAsia="仿宋" w:cs="仿宋"/>
          <w:color w:val="auto"/>
          <w:sz w:val="32"/>
          <w:szCs w:val="32"/>
        </w:rPr>
        <w:t>注：本公告同时在下列网站及场所发布</w:t>
      </w: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1、中国土地市场网；</w:t>
      </w: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2、广东省公共资源交易平台；</w:t>
      </w: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、惠州市公共资源交易中心大亚湾分中心交易大厅的电子显示屏；</w:t>
      </w: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ascii="仿宋" w:hAnsi="仿宋" w:eastAsia="仿宋" w:cs="仿宋"/>
          <w:color w:val="auto"/>
          <w:sz w:val="32"/>
          <w:szCs w:val="32"/>
        </w:rPr>
      </w:pPr>
      <w:r>
        <w:rPr>
          <w:rFonts w:hint="eastAsia" w:ascii="仿宋" w:hAnsi="仿宋" w:eastAsia="仿宋" w:cs="仿宋"/>
          <w:color w:val="auto"/>
          <w:sz w:val="32"/>
          <w:szCs w:val="32"/>
        </w:rPr>
        <w:t>数字证书办理地址：广东省惠州市惠城区三新北路31号市民服务中心3号楼惠州市公共资源交易中心一楼大厅1号土地与矿业交易窗口。</w:t>
      </w: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ascii="仿宋" w:hAnsi="仿宋" w:eastAsia="仿宋" w:cs="仿宋"/>
          <w:color w:val="auto"/>
          <w:sz w:val="32"/>
          <w:szCs w:val="32"/>
        </w:rPr>
      </w:pPr>
      <w:r>
        <w:rPr>
          <w:rFonts w:hint="eastAsia" w:ascii="仿宋" w:hAnsi="仿宋" w:eastAsia="仿宋" w:cs="仿宋"/>
          <w:color w:val="auto"/>
          <w:sz w:val="32"/>
          <w:szCs w:val="32"/>
        </w:rPr>
        <w:t>联系人：罗工</w:t>
      </w: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ascii="仿宋" w:hAnsi="仿宋" w:eastAsia="仿宋" w:cs="仿宋"/>
          <w:color w:val="auto"/>
          <w:sz w:val="32"/>
          <w:szCs w:val="32"/>
        </w:rPr>
      </w:pPr>
      <w:r>
        <w:rPr>
          <w:rFonts w:hint="eastAsia" w:ascii="仿宋" w:hAnsi="仿宋" w:eastAsia="仿宋" w:cs="仿宋"/>
          <w:color w:val="auto"/>
          <w:sz w:val="32"/>
          <w:szCs w:val="32"/>
        </w:rPr>
        <w:t>联系电话：0752-7121029</w:t>
      </w: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ascii="仿宋" w:hAnsi="仿宋" w:eastAsia="仿宋" w:cs="仿宋"/>
          <w:color w:val="auto"/>
          <w:sz w:val="32"/>
          <w:szCs w:val="32"/>
        </w:rPr>
      </w:pPr>
    </w:p>
    <w:p>
      <w:pPr>
        <w:pStyle w:val="7"/>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ascii="仿宋" w:hAnsi="仿宋" w:eastAsia="仿宋" w:cs="仿宋"/>
          <w:color w:val="auto"/>
          <w:sz w:val="32"/>
          <w:szCs w:val="32"/>
        </w:rPr>
      </w:pPr>
    </w:p>
    <w:p>
      <w:pPr>
        <w:pStyle w:val="7"/>
        <w:keepNext w:val="0"/>
        <w:keepLines w:val="0"/>
        <w:pageBreakBefore w:val="0"/>
        <w:widowControl/>
        <w:kinsoku/>
        <w:wordWrap/>
        <w:overflowPunct/>
        <w:topLinePunct w:val="0"/>
        <w:autoSpaceDE/>
        <w:autoSpaceDN/>
        <w:bidi w:val="0"/>
        <w:adjustRightInd/>
        <w:snapToGrid/>
        <w:spacing w:line="520" w:lineRule="exact"/>
        <w:ind w:left="4454" w:leftChars="608" w:hanging="3177" w:hangingChars="993"/>
        <w:textAlignment w:val="auto"/>
        <w:rPr>
          <w:rFonts w:ascii="仿宋" w:hAnsi="仿宋" w:eastAsia="仿宋" w:cs="华文仿宋"/>
          <w:color w:val="auto"/>
          <w:sz w:val="32"/>
          <w:szCs w:val="32"/>
        </w:rPr>
      </w:pPr>
      <w:r>
        <w:rPr>
          <w:rFonts w:hint="eastAsia" w:ascii="仿宋" w:hAnsi="仿宋" w:eastAsia="仿宋" w:cs="仿宋"/>
          <w:color w:val="auto"/>
          <w:sz w:val="32"/>
          <w:szCs w:val="32"/>
        </w:rPr>
        <w:t xml:space="preserve">  惠州市自然资源局大亚湾经济技术开发区分局             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bookmarkStart w:id="1" w:name="_GoBack"/>
      <w:bookmarkEnd w:id="1"/>
      <w:r>
        <w:rPr>
          <w:rFonts w:hint="eastAsia" w:ascii="仿宋" w:hAnsi="仿宋" w:eastAsia="仿宋" w:cs="仿宋"/>
          <w:color w:val="auto"/>
          <w:sz w:val="32"/>
          <w:szCs w:val="32"/>
        </w:rPr>
        <w:t>日</w:t>
      </w:r>
    </w:p>
    <w:p>
      <w:pPr>
        <w:spacing w:line="360" w:lineRule="auto"/>
        <w:rPr>
          <w:rFonts w:ascii="仿宋" w:hAnsi="仿宋" w:eastAsia="仿宋"/>
          <w:color w:val="auto"/>
          <w:sz w:val="32"/>
          <w:szCs w:val="32"/>
        </w:rPr>
      </w:pPr>
    </w:p>
    <w:p>
      <w:pPr>
        <w:spacing w:line="360" w:lineRule="auto"/>
        <w:rPr>
          <w:rFonts w:ascii="仿宋" w:hAnsi="仿宋" w:eastAsia="仿宋"/>
          <w:color w:val="auto"/>
          <w:sz w:val="32"/>
          <w:szCs w:val="32"/>
        </w:rPr>
      </w:pPr>
    </w:p>
    <w:p>
      <w:pPr>
        <w:spacing w:line="360" w:lineRule="auto"/>
        <w:rPr>
          <w:rFonts w:ascii="仿宋" w:hAnsi="仿宋" w:eastAsia="仿宋"/>
          <w:color w:val="auto"/>
          <w:sz w:val="32"/>
          <w:szCs w:val="32"/>
        </w:rPr>
      </w:pPr>
    </w:p>
    <w:p>
      <w:pPr>
        <w:spacing w:line="360" w:lineRule="auto"/>
        <w:rPr>
          <w:rFonts w:ascii="仿宋" w:hAnsi="仿宋" w:eastAsia="仿宋"/>
          <w:color w:val="auto"/>
          <w:sz w:val="32"/>
          <w:szCs w:val="32"/>
        </w:rPr>
      </w:pPr>
    </w:p>
    <w:p>
      <w:pPr>
        <w:pStyle w:val="3"/>
        <w:ind w:firstLine="0" w:firstLineChars="0"/>
        <w:rPr>
          <w:color w:val="auto"/>
        </w:rPr>
        <w:sectPr>
          <w:footerReference r:id="rId3" w:type="default"/>
          <w:pgSz w:w="11906" w:h="16838"/>
          <w:pgMar w:top="1440" w:right="1800" w:bottom="1440" w:left="1800" w:header="851" w:footer="992" w:gutter="0"/>
          <w:cols w:space="720" w:num="1"/>
          <w:docGrid w:type="lines" w:linePitch="312" w:charSpace="0"/>
        </w:sectPr>
      </w:pPr>
    </w:p>
    <w:p>
      <w:pPr>
        <w:spacing w:line="360" w:lineRule="auto"/>
        <w:rPr>
          <w:rFonts w:ascii="仿宋" w:hAnsi="仿宋" w:eastAsia="仿宋"/>
          <w:color w:val="auto"/>
          <w:sz w:val="32"/>
          <w:szCs w:val="32"/>
        </w:rPr>
      </w:pPr>
      <w:r>
        <w:rPr>
          <w:rFonts w:hint="eastAsia" w:ascii="仿宋" w:hAnsi="仿宋" w:eastAsia="仿宋"/>
          <w:color w:val="auto"/>
          <w:sz w:val="32"/>
          <w:szCs w:val="32"/>
        </w:rPr>
        <w:t>附表：</w:t>
      </w:r>
    </w:p>
    <w:p>
      <w:pPr>
        <w:tabs>
          <w:tab w:val="left" w:pos="9720"/>
        </w:tabs>
        <w:spacing w:line="360" w:lineRule="auto"/>
        <w:jc w:val="center"/>
        <w:rPr>
          <w:rFonts w:ascii="仿宋_GB2312" w:hAnsi="宋体" w:eastAsia="仿宋_GB2312"/>
          <w:b/>
          <w:bCs/>
          <w:color w:val="auto"/>
          <w:sz w:val="32"/>
          <w:szCs w:val="32"/>
        </w:rPr>
      </w:pPr>
      <w:r>
        <w:rPr>
          <w:rFonts w:hint="eastAsia" w:ascii="仿宋_GB2312" w:hAnsi="宋体" w:eastAsia="仿宋_GB2312"/>
          <w:b/>
          <w:bCs/>
          <w:color w:val="auto"/>
          <w:sz w:val="32"/>
          <w:szCs w:val="32"/>
        </w:rPr>
        <w:t>网上挂牌出让地块基本情况及规划建设指标</w:t>
      </w:r>
    </w:p>
    <w:p>
      <w:pPr>
        <w:pStyle w:val="3"/>
        <w:rPr>
          <w:color w:val="auto"/>
        </w:rPr>
      </w:pPr>
    </w:p>
    <w:tbl>
      <w:tblPr>
        <w:tblStyle w:val="8"/>
        <w:tblpPr w:leftFromText="180" w:rightFromText="180" w:vertAnchor="text" w:tblpXSpec="center" w:tblpY="1"/>
        <w:tblOverlap w:val="never"/>
        <w:tblW w:w="15405"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89"/>
        <w:gridCol w:w="1451"/>
        <w:gridCol w:w="632"/>
        <w:gridCol w:w="1277"/>
        <w:gridCol w:w="1025"/>
        <w:gridCol w:w="1095"/>
        <w:gridCol w:w="764"/>
        <w:gridCol w:w="824"/>
        <w:gridCol w:w="2039"/>
        <w:gridCol w:w="2861"/>
        <w:gridCol w:w="615"/>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18" w:type="dxa"/>
            <w:vMerge w:val="restart"/>
            <w:noWrap/>
            <w:vAlign w:val="center"/>
          </w:tcPr>
          <w:p>
            <w:pPr>
              <w:spacing w:line="320" w:lineRule="exact"/>
              <w:jc w:val="center"/>
              <w:rPr>
                <w:rFonts w:ascii="仿宋_GB2312" w:hAnsi="宋体" w:eastAsia="仿宋_GB2312"/>
                <w:b/>
                <w:bCs/>
                <w:color w:val="auto"/>
                <w:sz w:val="24"/>
              </w:rPr>
            </w:pPr>
            <w:r>
              <w:rPr>
                <w:rFonts w:hint="eastAsia" w:ascii="仿宋_GB2312" w:hAnsi="宋体" w:eastAsia="仿宋_GB2312"/>
                <w:b/>
                <w:bCs/>
                <w:color w:val="auto"/>
                <w:sz w:val="24"/>
              </w:rPr>
              <w:t>土地</w:t>
            </w:r>
          </w:p>
          <w:p>
            <w:pPr>
              <w:spacing w:line="320" w:lineRule="exact"/>
              <w:jc w:val="center"/>
              <w:rPr>
                <w:rFonts w:ascii="仿宋_GB2312" w:hAnsi="宋体" w:eastAsia="仿宋_GB2312"/>
                <w:b/>
                <w:bCs/>
                <w:color w:val="auto"/>
                <w:sz w:val="24"/>
              </w:rPr>
            </w:pPr>
            <w:r>
              <w:rPr>
                <w:rFonts w:hint="eastAsia" w:ascii="仿宋_GB2312" w:hAnsi="宋体" w:eastAsia="仿宋_GB2312"/>
                <w:b/>
                <w:bCs/>
                <w:color w:val="auto"/>
                <w:sz w:val="24"/>
              </w:rPr>
              <w:t>位置</w:t>
            </w:r>
          </w:p>
        </w:tc>
        <w:tc>
          <w:tcPr>
            <w:tcW w:w="1489" w:type="dxa"/>
            <w:vMerge w:val="restart"/>
            <w:noWrap/>
            <w:vAlign w:val="center"/>
          </w:tcPr>
          <w:p>
            <w:pPr>
              <w:spacing w:line="320" w:lineRule="exact"/>
              <w:jc w:val="center"/>
              <w:rPr>
                <w:rFonts w:hint="eastAsia" w:ascii="仿宋_GB2312" w:hAnsi="宋体" w:eastAsia="仿宋_GB2312"/>
                <w:b/>
                <w:bCs/>
                <w:color w:val="auto"/>
                <w:sz w:val="24"/>
              </w:rPr>
            </w:pPr>
            <w:r>
              <w:rPr>
                <w:rFonts w:hint="eastAsia" w:ascii="仿宋_GB2312" w:hAnsi="宋体" w:eastAsia="仿宋_GB2312" w:cs="Times New Roman"/>
                <w:b/>
                <w:bCs/>
                <w:color w:val="auto"/>
                <w:sz w:val="24"/>
                <w:lang w:val="en-US" w:eastAsia="zh-CN"/>
              </w:rPr>
              <w:t>挂牌</w:t>
            </w:r>
            <w:r>
              <w:rPr>
                <w:rFonts w:hint="eastAsia" w:ascii="仿宋_GB2312" w:hAnsi="宋体" w:eastAsia="仿宋_GB2312" w:cs="Times New Roman"/>
                <w:b/>
                <w:bCs/>
                <w:color w:val="auto"/>
                <w:sz w:val="24"/>
              </w:rPr>
              <w:t>编号</w:t>
            </w:r>
          </w:p>
        </w:tc>
        <w:tc>
          <w:tcPr>
            <w:tcW w:w="1451" w:type="dxa"/>
            <w:vMerge w:val="restart"/>
            <w:noWrap/>
            <w:vAlign w:val="center"/>
          </w:tcPr>
          <w:p>
            <w:pPr>
              <w:adjustRightInd w:val="0"/>
              <w:snapToGrid w:val="0"/>
              <w:spacing w:line="320" w:lineRule="exact"/>
              <w:jc w:val="center"/>
              <w:rPr>
                <w:rFonts w:ascii="仿宋_GB2312" w:hAnsi="宋体" w:eastAsia="仿宋_GB2312"/>
                <w:b/>
                <w:bCs/>
                <w:color w:val="auto"/>
                <w:sz w:val="24"/>
              </w:rPr>
            </w:pPr>
            <w:r>
              <w:rPr>
                <w:rFonts w:hint="eastAsia" w:ascii="仿宋_GB2312" w:hAnsi="宋体" w:eastAsia="仿宋_GB2312"/>
                <w:b/>
                <w:bCs/>
                <w:color w:val="auto"/>
                <w:sz w:val="24"/>
              </w:rPr>
              <w:t>用地编号</w:t>
            </w:r>
          </w:p>
        </w:tc>
        <w:tc>
          <w:tcPr>
            <w:tcW w:w="632" w:type="dxa"/>
            <w:vMerge w:val="restart"/>
            <w:noWrap/>
            <w:vAlign w:val="center"/>
          </w:tcPr>
          <w:p>
            <w:pPr>
              <w:adjustRightInd w:val="0"/>
              <w:snapToGrid w:val="0"/>
              <w:spacing w:line="320" w:lineRule="exact"/>
              <w:jc w:val="center"/>
              <w:rPr>
                <w:rFonts w:ascii="仿宋_GB2312" w:hAnsi="宋体" w:eastAsia="仿宋_GB2312"/>
                <w:b/>
                <w:bCs/>
                <w:color w:val="auto"/>
                <w:sz w:val="24"/>
              </w:rPr>
            </w:pPr>
            <w:r>
              <w:rPr>
                <w:rFonts w:hint="eastAsia" w:ascii="仿宋_GB2312" w:hAnsi="宋体" w:eastAsia="仿宋_GB2312"/>
                <w:b/>
                <w:bCs/>
                <w:color w:val="auto"/>
                <w:sz w:val="24"/>
              </w:rPr>
              <w:t>土地</w:t>
            </w:r>
          </w:p>
          <w:p>
            <w:pPr>
              <w:adjustRightInd w:val="0"/>
              <w:snapToGrid w:val="0"/>
              <w:spacing w:line="320" w:lineRule="exact"/>
              <w:jc w:val="center"/>
              <w:rPr>
                <w:rFonts w:ascii="仿宋_GB2312" w:hAnsi="宋体" w:eastAsia="仿宋_GB2312"/>
                <w:b/>
                <w:bCs/>
                <w:color w:val="auto"/>
                <w:sz w:val="24"/>
              </w:rPr>
            </w:pPr>
            <w:r>
              <w:rPr>
                <w:rFonts w:hint="eastAsia" w:ascii="仿宋_GB2312" w:hAnsi="宋体" w:eastAsia="仿宋_GB2312"/>
                <w:b/>
                <w:bCs/>
                <w:color w:val="auto"/>
                <w:sz w:val="24"/>
              </w:rPr>
              <w:t>用途</w:t>
            </w:r>
          </w:p>
        </w:tc>
        <w:tc>
          <w:tcPr>
            <w:tcW w:w="9885" w:type="dxa"/>
            <w:gridSpan w:val="7"/>
            <w:noWrap/>
            <w:vAlign w:val="center"/>
          </w:tcPr>
          <w:p>
            <w:pPr>
              <w:adjustRightInd w:val="0"/>
              <w:snapToGrid w:val="0"/>
              <w:spacing w:line="320" w:lineRule="exact"/>
              <w:ind w:left="27" w:leftChars="-89" w:hanging="214" w:hangingChars="89"/>
              <w:jc w:val="center"/>
              <w:rPr>
                <w:rFonts w:ascii="仿宋_GB2312" w:hAnsi="宋体" w:eastAsia="仿宋_GB2312"/>
                <w:b/>
                <w:bCs/>
                <w:color w:val="auto"/>
                <w:sz w:val="24"/>
              </w:rPr>
            </w:pPr>
            <w:r>
              <w:rPr>
                <w:rFonts w:hint="eastAsia" w:ascii="仿宋_GB2312" w:hAnsi="宋体" w:eastAsia="仿宋_GB2312"/>
                <w:b/>
                <w:bCs/>
                <w:color w:val="auto"/>
                <w:sz w:val="24"/>
              </w:rPr>
              <w:t>规划指标要求</w:t>
            </w:r>
          </w:p>
        </w:tc>
        <w:tc>
          <w:tcPr>
            <w:tcW w:w="615" w:type="dxa"/>
            <w:vMerge w:val="restart"/>
            <w:noWrap/>
            <w:vAlign w:val="center"/>
          </w:tcPr>
          <w:p>
            <w:pPr>
              <w:autoSpaceDE w:val="0"/>
              <w:autoSpaceDN w:val="0"/>
              <w:adjustRightInd w:val="0"/>
              <w:spacing w:line="240" w:lineRule="exact"/>
              <w:jc w:val="center"/>
              <w:rPr>
                <w:rFonts w:ascii="仿宋_GB2312" w:hAnsi="宋体" w:eastAsia="仿宋_GB2312"/>
                <w:b/>
                <w:bCs/>
                <w:color w:val="auto"/>
                <w:sz w:val="24"/>
              </w:rPr>
            </w:pPr>
            <w:r>
              <w:rPr>
                <w:rFonts w:hint="eastAsia" w:ascii="仿宋_GB2312" w:hAnsi="宋体" w:eastAsia="仿宋_GB2312"/>
                <w:b/>
                <w:bCs/>
                <w:color w:val="auto"/>
                <w:sz w:val="24"/>
              </w:rPr>
              <w:t>出让</w:t>
            </w:r>
          </w:p>
          <w:p>
            <w:pPr>
              <w:autoSpaceDE w:val="0"/>
              <w:autoSpaceDN w:val="0"/>
              <w:adjustRightInd w:val="0"/>
              <w:spacing w:line="240" w:lineRule="exact"/>
              <w:jc w:val="center"/>
              <w:rPr>
                <w:rFonts w:ascii="仿宋_GB2312" w:hAnsi="宋体" w:eastAsia="仿宋_GB2312"/>
                <w:b/>
                <w:bCs/>
                <w:color w:val="auto"/>
                <w:sz w:val="24"/>
              </w:rPr>
            </w:pPr>
            <w:r>
              <w:rPr>
                <w:rFonts w:hint="eastAsia" w:ascii="仿宋_GB2312" w:hAnsi="宋体" w:eastAsia="仿宋_GB2312"/>
                <w:b/>
                <w:bCs/>
                <w:color w:val="auto"/>
                <w:sz w:val="24"/>
              </w:rPr>
              <w:t>年限</w:t>
            </w:r>
          </w:p>
        </w:tc>
        <w:tc>
          <w:tcPr>
            <w:tcW w:w="615" w:type="dxa"/>
            <w:vMerge w:val="restart"/>
            <w:noWrap/>
            <w:vAlign w:val="center"/>
          </w:tcPr>
          <w:p>
            <w:pPr>
              <w:autoSpaceDE w:val="0"/>
              <w:autoSpaceDN w:val="0"/>
              <w:adjustRightInd w:val="0"/>
              <w:spacing w:line="240" w:lineRule="exact"/>
              <w:jc w:val="center"/>
              <w:rPr>
                <w:rFonts w:hint="default"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开发程度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718" w:type="dxa"/>
            <w:vMerge w:val="continue"/>
            <w:noWrap/>
            <w:vAlign w:val="center"/>
          </w:tcPr>
          <w:p>
            <w:pPr>
              <w:adjustRightInd w:val="0"/>
              <w:snapToGrid w:val="0"/>
              <w:spacing w:line="320" w:lineRule="exact"/>
              <w:jc w:val="center"/>
              <w:rPr>
                <w:rFonts w:ascii="仿宋_GB2312" w:hAnsi="宋体" w:eastAsia="仿宋_GB2312"/>
                <w:b/>
                <w:bCs/>
                <w:color w:val="auto"/>
                <w:sz w:val="24"/>
              </w:rPr>
            </w:pPr>
          </w:p>
        </w:tc>
        <w:tc>
          <w:tcPr>
            <w:tcW w:w="1489" w:type="dxa"/>
            <w:vMerge w:val="continue"/>
            <w:noWrap/>
            <w:vAlign w:val="center"/>
          </w:tcPr>
          <w:p>
            <w:pPr>
              <w:adjustRightInd w:val="0"/>
              <w:snapToGrid w:val="0"/>
              <w:spacing w:line="320" w:lineRule="exact"/>
              <w:jc w:val="center"/>
              <w:rPr>
                <w:rFonts w:ascii="仿宋_GB2312" w:hAnsi="宋体" w:eastAsia="仿宋_GB2312"/>
                <w:b/>
                <w:bCs/>
                <w:color w:val="auto"/>
                <w:sz w:val="24"/>
              </w:rPr>
            </w:pPr>
          </w:p>
        </w:tc>
        <w:tc>
          <w:tcPr>
            <w:tcW w:w="1451" w:type="dxa"/>
            <w:vMerge w:val="continue"/>
            <w:noWrap/>
            <w:vAlign w:val="center"/>
          </w:tcPr>
          <w:p>
            <w:pPr>
              <w:adjustRightInd w:val="0"/>
              <w:snapToGrid w:val="0"/>
              <w:spacing w:line="320" w:lineRule="exact"/>
              <w:jc w:val="center"/>
              <w:rPr>
                <w:rFonts w:ascii="仿宋_GB2312" w:hAnsi="宋体" w:eastAsia="仿宋_GB2312"/>
                <w:b/>
                <w:bCs/>
                <w:color w:val="auto"/>
                <w:sz w:val="24"/>
              </w:rPr>
            </w:pPr>
          </w:p>
        </w:tc>
        <w:tc>
          <w:tcPr>
            <w:tcW w:w="632" w:type="dxa"/>
            <w:vMerge w:val="continue"/>
            <w:noWrap/>
            <w:vAlign w:val="center"/>
          </w:tcPr>
          <w:p>
            <w:pPr>
              <w:adjustRightInd w:val="0"/>
              <w:snapToGrid w:val="0"/>
              <w:spacing w:line="320" w:lineRule="exact"/>
              <w:jc w:val="center"/>
              <w:rPr>
                <w:rFonts w:ascii="仿宋_GB2312" w:hAnsi="宋体" w:eastAsia="仿宋_GB2312"/>
                <w:b/>
                <w:bCs/>
                <w:color w:val="auto"/>
                <w:sz w:val="24"/>
              </w:rPr>
            </w:pPr>
          </w:p>
        </w:tc>
        <w:tc>
          <w:tcPr>
            <w:tcW w:w="1277" w:type="dxa"/>
            <w:noWrap/>
            <w:vAlign w:val="center"/>
          </w:tcPr>
          <w:p>
            <w:pPr>
              <w:spacing w:line="320" w:lineRule="exact"/>
              <w:jc w:val="center"/>
              <w:rPr>
                <w:rFonts w:ascii="仿宋_GB2312" w:hAnsi="宋体" w:eastAsia="仿宋_GB2312"/>
                <w:b/>
                <w:bCs/>
                <w:color w:val="auto"/>
                <w:sz w:val="24"/>
              </w:rPr>
            </w:pPr>
            <w:r>
              <w:rPr>
                <w:rFonts w:hint="eastAsia" w:ascii="仿宋_GB2312" w:hAnsi="宋体" w:eastAsia="仿宋_GB2312"/>
                <w:b/>
                <w:bCs/>
                <w:color w:val="auto"/>
                <w:sz w:val="24"/>
              </w:rPr>
              <w:t>计算指标用地面积（㎡）</w:t>
            </w:r>
          </w:p>
        </w:tc>
        <w:tc>
          <w:tcPr>
            <w:tcW w:w="1025" w:type="dxa"/>
            <w:noWrap/>
            <w:vAlign w:val="center"/>
          </w:tcPr>
          <w:p>
            <w:pPr>
              <w:autoSpaceDE w:val="0"/>
              <w:autoSpaceDN w:val="0"/>
              <w:adjustRightInd w:val="0"/>
              <w:spacing w:line="240" w:lineRule="exact"/>
              <w:jc w:val="center"/>
              <w:rPr>
                <w:rFonts w:ascii="仿宋_GB2312" w:hAnsi="宋体" w:eastAsia="仿宋_GB2312"/>
                <w:b/>
                <w:bCs/>
                <w:color w:val="auto"/>
                <w:sz w:val="24"/>
              </w:rPr>
            </w:pPr>
            <w:r>
              <w:rPr>
                <w:rFonts w:hint="eastAsia" w:ascii="仿宋_GB2312" w:hAnsi="宋体" w:eastAsia="仿宋_GB2312"/>
                <w:b/>
                <w:bCs/>
                <w:color w:val="auto"/>
                <w:sz w:val="24"/>
              </w:rPr>
              <w:t>宗地使用权面积（㎡）</w:t>
            </w:r>
          </w:p>
        </w:tc>
        <w:tc>
          <w:tcPr>
            <w:tcW w:w="1095" w:type="dxa"/>
            <w:noWrap/>
            <w:vAlign w:val="center"/>
          </w:tcPr>
          <w:p>
            <w:pPr>
              <w:autoSpaceDE w:val="0"/>
              <w:autoSpaceDN w:val="0"/>
              <w:adjustRightInd w:val="0"/>
              <w:spacing w:line="240" w:lineRule="exact"/>
              <w:jc w:val="center"/>
              <w:rPr>
                <w:rFonts w:ascii="仿宋_GB2312" w:hAnsi="宋体" w:eastAsia="仿宋_GB2312"/>
                <w:b/>
                <w:bCs/>
                <w:color w:val="auto"/>
                <w:sz w:val="24"/>
              </w:rPr>
            </w:pPr>
            <w:r>
              <w:rPr>
                <w:rFonts w:hint="eastAsia" w:ascii="仿宋_GB2312" w:hAnsi="宋体" w:eastAsia="仿宋_GB2312"/>
                <w:b/>
                <w:bCs/>
                <w:color w:val="auto"/>
                <w:sz w:val="24"/>
              </w:rPr>
              <w:t>容积率</w:t>
            </w:r>
          </w:p>
        </w:tc>
        <w:tc>
          <w:tcPr>
            <w:tcW w:w="764" w:type="dxa"/>
            <w:noWrap/>
            <w:vAlign w:val="center"/>
          </w:tcPr>
          <w:p>
            <w:pPr>
              <w:autoSpaceDE w:val="0"/>
              <w:autoSpaceDN w:val="0"/>
              <w:adjustRightInd w:val="0"/>
              <w:spacing w:line="240" w:lineRule="exact"/>
              <w:jc w:val="center"/>
              <w:rPr>
                <w:rFonts w:ascii="仿宋_GB2312" w:hAnsi="宋体" w:eastAsia="仿宋_GB2312"/>
                <w:b/>
                <w:bCs/>
                <w:color w:val="auto"/>
                <w:sz w:val="24"/>
              </w:rPr>
            </w:pPr>
            <w:r>
              <w:rPr>
                <w:rFonts w:hint="eastAsia" w:ascii="仿宋_GB2312" w:hAnsi="宋体" w:eastAsia="仿宋_GB2312"/>
                <w:b/>
                <w:bCs/>
                <w:color w:val="auto"/>
                <w:sz w:val="24"/>
              </w:rPr>
              <w:t>建筑</w:t>
            </w:r>
          </w:p>
          <w:p>
            <w:pPr>
              <w:autoSpaceDE w:val="0"/>
              <w:autoSpaceDN w:val="0"/>
              <w:adjustRightInd w:val="0"/>
              <w:spacing w:line="240" w:lineRule="exact"/>
              <w:jc w:val="center"/>
              <w:rPr>
                <w:rFonts w:hint="eastAsia" w:ascii="仿宋_GB2312" w:hAnsi="宋体" w:eastAsia="仿宋_GB2312"/>
                <w:b/>
                <w:bCs/>
                <w:color w:val="auto"/>
                <w:sz w:val="24"/>
                <w:lang w:eastAsia="zh-CN"/>
              </w:rPr>
            </w:pPr>
            <w:r>
              <w:rPr>
                <w:rFonts w:hint="eastAsia" w:ascii="仿宋_GB2312" w:hAnsi="宋体" w:eastAsia="仿宋_GB2312"/>
                <w:b/>
                <w:bCs/>
                <w:color w:val="auto"/>
                <w:sz w:val="24"/>
                <w:lang w:val="en-US" w:eastAsia="zh-CN"/>
              </w:rPr>
              <w:t>系数</w:t>
            </w:r>
          </w:p>
          <w:p>
            <w:pPr>
              <w:autoSpaceDE w:val="0"/>
              <w:autoSpaceDN w:val="0"/>
              <w:adjustRightInd w:val="0"/>
              <w:spacing w:line="240" w:lineRule="exact"/>
              <w:jc w:val="center"/>
              <w:rPr>
                <w:rFonts w:ascii="仿宋_GB2312" w:hAnsi="宋体" w:eastAsia="仿宋_GB2312"/>
                <w:b/>
                <w:bCs/>
                <w:color w:val="auto"/>
                <w:sz w:val="24"/>
              </w:rPr>
            </w:pPr>
            <w:r>
              <w:rPr>
                <w:rFonts w:hint="eastAsia" w:ascii="仿宋_GB2312" w:hAnsi="仿宋_GB2312" w:eastAsia="仿宋_GB2312" w:cs="仿宋_GB2312"/>
                <w:b/>
                <w:bCs/>
                <w:color w:val="auto"/>
                <w:spacing w:val="-20"/>
                <w:sz w:val="28"/>
                <w:szCs w:val="28"/>
              </w:rPr>
              <w:t>（%）</w:t>
            </w:r>
          </w:p>
        </w:tc>
        <w:tc>
          <w:tcPr>
            <w:tcW w:w="824" w:type="dxa"/>
            <w:noWrap/>
            <w:vAlign w:val="center"/>
          </w:tcPr>
          <w:p>
            <w:pPr>
              <w:autoSpaceDE w:val="0"/>
              <w:autoSpaceDN w:val="0"/>
              <w:adjustRightInd w:val="0"/>
              <w:spacing w:line="240" w:lineRule="exact"/>
              <w:jc w:val="center"/>
              <w:rPr>
                <w:rFonts w:ascii="仿宋_GB2312" w:hAnsi="宋体" w:eastAsia="仿宋_GB2312"/>
                <w:b/>
                <w:bCs/>
                <w:color w:val="auto"/>
                <w:sz w:val="24"/>
              </w:rPr>
            </w:pPr>
            <w:r>
              <w:rPr>
                <w:rFonts w:hint="eastAsia" w:ascii="仿宋_GB2312" w:hAnsi="宋体" w:eastAsia="仿宋_GB2312"/>
                <w:b/>
                <w:bCs/>
                <w:color w:val="auto"/>
                <w:sz w:val="24"/>
              </w:rPr>
              <w:t>绿地率</w:t>
            </w:r>
            <w:r>
              <w:rPr>
                <w:rFonts w:hint="eastAsia" w:ascii="仿宋_GB2312" w:hAnsi="仿宋_GB2312" w:eastAsia="仿宋_GB2312" w:cs="仿宋_GB2312"/>
                <w:b/>
                <w:bCs/>
                <w:color w:val="auto"/>
                <w:spacing w:val="-20"/>
                <w:sz w:val="28"/>
                <w:szCs w:val="28"/>
              </w:rPr>
              <w:t>（%）</w:t>
            </w:r>
          </w:p>
        </w:tc>
        <w:tc>
          <w:tcPr>
            <w:tcW w:w="2039" w:type="dxa"/>
            <w:noWrap/>
            <w:vAlign w:val="center"/>
          </w:tcPr>
          <w:p>
            <w:pPr>
              <w:autoSpaceDE w:val="0"/>
              <w:autoSpaceDN w:val="0"/>
              <w:adjustRightInd w:val="0"/>
              <w:spacing w:line="240" w:lineRule="exact"/>
              <w:jc w:val="center"/>
              <w:rPr>
                <w:rFonts w:ascii="仿宋_GB2312" w:hAnsi="宋体" w:eastAsia="仿宋_GB2312"/>
                <w:b/>
                <w:bCs/>
                <w:color w:val="auto"/>
                <w:sz w:val="24"/>
              </w:rPr>
            </w:pPr>
            <w:r>
              <w:rPr>
                <w:rFonts w:hint="eastAsia" w:ascii="仿宋_GB2312" w:hAnsi="宋体" w:eastAsia="仿宋_GB2312"/>
                <w:b/>
                <w:bCs/>
                <w:color w:val="auto"/>
                <w:sz w:val="24"/>
              </w:rPr>
              <w:t>计容积率建筑面积（㎡）</w:t>
            </w:r>
          </w:p>
        </w:tc>
        <w:tc>
          <w:tcPr>
            <w:tcW w:w="2861" w:type="dxa"/>
            <w:noWrap/>
            <w:vAlign w:val="center"/>
          </w:tcPr>
          <w:p>
            <w:pPr>
              <w:autoSpaceDE w:val="0"/>
              <w:autoSpaceDN w:val="0"/>
              <w:adjustRightInd w:val="0"/>
              <w:spacing w:line="240" w:lineRule="exact"/>
              <w:jc w:val="center"/>
              <w:rPr>
                <w:rFonts w:ascii="仿宋_GB2312" w:hAnsi="宋体" w:eastAsia="仿宋_GB2312"/>
                <w:b/>
                <w:bCs/>
                <w:color w:val="auto"/>
                <w:sz w:val="24"/>
              </w:rPr>
            </w:pPr>
            <w:r>
              <w:rPr>
                <w:rFonts w:hint="eastAsia" w:ascii="仿宋_GB2312" w:hAnsi="宋体" w:eastAsia="仿宋_GB2312"/>
                <w:b/>
                <w:bCs/>
                <w:color w:val="auto"/>
                <w:sz w:val="24"/>
              </w:rPr>
              <w:t>配套设</w:t>
            </w:r>
          </w:p>
          <w:p>
            <w:pPr>
              <w:autoSpaceDE w:val="0"/>
              <w:autoSpaceDN w:val="0"/>
              <w:adjustRightInd w:val="0"/>
              <w:spacing w:line="240" w:lineRule="exact"/>
              <w:jc w:val="center"/>
              <w:rPr>
                <w:rFonts w:ascii="仿宋_GB2312" w:hAnsi="宋体" w:eastAsia="仿宋_GB2312"/>
                <w:b/>
                <w:bCs/>
                <w:color w:val="auto"/>
                <w:sz w:val="24"/>
              </w:rPr>
            </w:pPr>
            <w:r>
              <w:rPr>
                <w:rFonts w:hint="eastAsia" w:ascii="仿宋_GB2312" w:hAnsi="宋体" w:eastAsia="仿宋_GB2312"/>
                <w:b/>
                <w:bCs/>
                <w:color w:val="auto"/>
                <w:sz w:val="24"/>
              </w:rPr>
              <w:t>施要求</w:t>
            </w:r>
          </w:p>
        </w:tc>
        <w:tc>
          <w:tcPr>
            <w:tcW w:w="615" w:type="dxa"/>
            <w:vMerge w:val="continue"/>
            <w:noWrap/>
            <w:vAlign w:val="center"/>
          </w:tcPr>
          <w:p>
            <w:pPr>
              <w:autoSpaceDE w:val="0"/>
              <w:autoSpaceDN w:val="0"/>
              <w:adjustRightInd w:val="0"/>
              <w:spacing w:line="240" w:lineRule="exact"/>
              <w:jc w:val="center"/>
              <w:rPr>
                <w:rFonts w:ascii="仿宋_GB2312" w:hAnsi="宋体" w:eastAsia="仿宋_GB2312"/>
                <w:b/>
                <w:bCs/>
                <w:color w:val="auto"/>
                <w:sz w:val="24"/>
              </w:rPr>
            </w:pPr>
          </w:p>
        </w:tc>
        <w:tc>
          <w:tcPr>
            <w:tcW w:w="615" w:type="dxa"/>
            <w:vMerge w:val="continue"/>
            <w:noWrap/>
            <w:vAlign w:val="center"/>
          </w:tcPr>
          <w:p>
            <w:pPr>
              <w:autoSpaceDE w:val="0"/>
              <w:autoSpaceDN w:val="0"/>
              <w:adjustRightInd w:val="0"/>
              <w:spacing w:line="240" w:lineRule="exact"/>
              <w:jc w:val="center"/>
              <w:rPr>
                <w:rFonts w:ascii="仿宋_GB2312" w:hAnsi="宋体" w:eastAsia="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18" w:type="dxa"/>
            <w:noWrap/>
            <w:vAlign w:val="center"/>
          </w:tcPr>
          <w:p>
            <w:pPr>
              <w:spacing w:line="30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大亚湾霞涌片区</w:t>
            </w:r>
          </w:p>
        </w:tc>
        <w:tc>
          <w:tcPr>
            <w:tcW w:w="1489" w:type="dxa"/>
            <w:noWrap/>
            <w:vAlign w:val="center"/>
          </w:tcPr>
          <w:p>
            <w:pPr>
              <w:spacing w:line="30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DYW202</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0</w:t>
            </w:r>
            <w:r>
              <w:rPr>
                <w:rFonts w:hint="eastAsia" w:ascii="仿宋_GB2312" w:hAnsi="仿宋_GB2312" w:eastAsia="仿宋_GB2312" w:cs="仿宋_GB2312"/>
                <w:color w:val="auto"/>
                <w:sz w:val="24"/>
                <w:highlight w:val="none"/>
                <w:lang w:val="en-US" w:eastAsia="zh-CN"/>
              </w:rPr>
              <w:t xml:space="preserve">03  </w:t>
            </w:r>
          </w:p>
        </w:tc>
        <w:tc>
          <w:tcPr>
            <w:tcW w:w="1451" w:type="dxa"/>
            <w:noWrap/>
            <w:vAlign w:val="center"/>
          </w:tcPr>
          <w:p>
            <w:pPr>
              <w:spacing w:line="30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XCB-01-01</w:t>
            </w:r>
          </w:p>
        </w:tc>
        <w:tc>
          <w:tcPr>
            <w:tcW w:w="632" w:type="dxa"/>
            <w:noWrap/>
            <w:tcMar>
              <w:left w:w="0" w:type="dxa"/>
              <w:right w:w="0" w:type="dxa"/>
            </w:tcMar>
            <w:vAlign w:val="center"/>
          </w:tcPr>
          <w:p>
            <w:pPr>
              <w:spacing w:line="30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二类工业用地</w:t>
            </w:r>
          </w:p>
        </w:tc>
        <w:tc>
          <w:tcPr>
            <w:tcW w:w="1277" w:type="dxa"/>
            <w:noWrap/>
            <w:vAlign w:val="center"/>
          </w:tcPr>
          <w:p>
            <w:pPr>
              <w:spacing w:line="30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147451</w:t>
            </w:r>
          </w:p>
        </w:tc>
        <w:tc>
          <w:tcPr>
            <w:tcW w:w="1025" w:type="dxa"/>
            <w:noWrap/>
            <w:vAlign w:val="center"/>
          </w:tcPr>
          <w:p>
            <w:pPr>
              <w:spacing w:line="30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147451</w:t>
            </w:r>
          </w:p>
        </w:tc>
        <w:tc>
          <w:tcPr>
            <w:tcW w:w="1095" w:type="dxa"/>
            <w:noWrap/>
            <w:vAlign w:val="center"/>
          </w:tcPr>
          <w:p>
            <w:pPr>
              <w:spacing w:line="30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1.2</w:t>
            </w:r>
          </w:p>
        </w:tc>
        <w:tc>
          <w:tcPr>
            <w:tcW w:w="764" w:type="dxa"/>
            <w:noWrap/>
            <w:vAlign w:val="center"/>
          </w:tcPr>
          <w:p>
            <w:pPr>
              <w:spacing w:line="3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40</w:t>
            </w:r>
          </w:p>
        </w:tc>
        <w:tc>
          <w:tcPr>
            <w:tcW w:w="824" w:type="dxa"/>
            <w:noWrap/>
            <w:vAlign w:val="center"/>
          </w:tcPr>
          <w:p>
            <w:pPr>
              <w:spacing w:line="30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10-20</w:t>
            </w:r>
          </w:p>
        </w:tc>
        <w:tc>
          <w:tcPr>
            <w:tcW w:w="2039" w:type="dxa"/>
            <w:noWrap/>
            <w:vAlign w:val="center"/>
          </w:tcPr>
          <w:p>
            <w:pPr>
              <w:spacing w:line="300" w:lineRule="exact"/>
              <w:jc w:val="center"/>
              <w:rPr>
                <w:rFonts w:hint="default" w:ascii="仿宋_GB2312" w:hAnsi="仿宋_GB2312" w:eastAsia="仿宋_GB2312" w:cs="仿宋_GB2312"/>
                <w:color w:val="auto"/>
                <w:sz w:val="24"/>
                <w:highlight w:val="none"/>
                <w:lang w:val="en-US" w:eastAsia="zh-CN"/>
              </w:rPr>
            </w:pPr>
            <w:r>
              <w:rPr>
                <w:rFonts w:hint="default" w:ascii="仿宋_GB2312" w:hAnsi="仿宋_GB2312" w:eastAsia="仿宋_GB2312" w:cs="仿宋_GB2312"/>
                <w:color w:val="auto"/>
                <w:sz w:val="24"/>
                <w:highlight w:val="none"/>
                <w:lang w:val="en-US" w:eastAsia="zh-CN"/>
              </w:rPr>
              <w:t>≤176941.2</w:t>
            </w:r>
          </w:p>
        </w:tc>
        <w:tc>
          <w:tcPr>
            <w:tcW w:w="2861" w:type="dxa"/>
            <w:noWrap/>
            <w:vAlign w:val="center"/>
          </w:tcPr>
          <w:p>
            <w:pPr>
              <w:spacing w:line="300" w:lineRule="exact"/>
              <w:jc w:val="both"/>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厂房每100平方米计容积率建筑面积≥0.3个，工业项目所需的行政办公及生活服务设施每100平方米计容积率建筑面积≥1.0个。</w:t>
            </w:r>
          </w:p>
        </w:tc>
        <w:tc>
          <w:tcPr>
            <w:tcW w:w="615" w:type="dxa"/>
            <w:noWrap/>
            <w:vAlign w:val="center"/>
          </w:tcPr>
          <w:p>
            <w:pPr>
              <w:spacing w:line="3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50年</w:t>
            </w:r>
          </w:p>
        </w:tc>
        <w:tc>
          <w:tcPr>
            <w:tcW w:w="615" w:type="dxa"/>
            <w:noWrap/>
            <w:vAlign w:val="center"/>
          </w:tcPr>
          <w:p>
            <w:pPr>
              <w:spacing w:line="30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三通一平</w:t>
            </w:r>
          </w:p>
        </w:tc>
      </w:tr>
    </w:tbl>
    <w:p>
      <w:pPr>
        <w:pStyle w:val="3"/>
        <w:ind w:firstLine="0" w:firstLineChars="0"/>
        <w:rPr>
          <w:color w:val="auto"/>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6"/>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WFhNjQ5NTQ1YmQyN2MxZGFjOTBhZWNkMDQzODAifQ=="/>
  </w:docVars>
  <w:rsids>
    <w:rsidRoot w:val="6A8A3FA3"/>
    <w:rsid w:val="000035BB"/>
    <w:rsid w:val="000D32ED"/>
    <w:rsid w:val="002F1B5E"/>
    <w:rsid w:val="00FB4471"/>
    <w:rsid w:val="01C610A8"/>
    <w:rsid w:val="03F1048D"/>
    <w:rsid w:val="06611677"/>
    <w:rsid w:val="06714041"/>
    <w:rsid w:val="06D13748"/>
    <w:rsid w:val="06ED6F16"/>
    <w:rsid w:val="07317DBF"/>
    <w:rsid w:val="079115A1"/>
    <w:rsid w:val="08E0092F"/>
    <w:rsid w:val="092C19CB"/>
    <w:rsid w:val="09985DC4"/>
    <w:rsid w:val="0C075F3A"/>
    <w:rsid w:val="0C1C000B"/>
    <w:rsid w:val="0C913682"/>
    <w:rsid w:val="0CAF3D31"/>
    <w:rsid w:val="0D173E2F"/>
    <w:rsid w:val="0DB97627"/>
    <w:rsid w:val="0EE16C10"/>
    <w:rsid w:val="0F9767C5"/>
    <w:rsid w:val="0FBF7DF7"/>
    <w:rsid w:val="104246C6"/>
    <w:rsid w:val="10AF229C"/>
    <w:rsid w:val="1101406C"/>
    <w:rsid w:val="110F620C"/>
    <w:rsid w:val="112B5CCD"/>
    <w:rsid w:val="11614BBC"/>
    <w:rsid w:val="116560BB"/>
    <w:rsid w:val="130C621B"/>
    <w:rsid w:val="13F12B8B"/>
    <w:rsid w:val="14BA7CC3"/>
    <w:rsid w:val="157620FA"/>
    <w:rsid w:val="15F765B6"/>
    <w:rsid w:val="165F3306"/>
    <w:rsid w:val="16813AE4"/>
    <w:rsid w:val="169C7E68"/>
    <w:rsid w:val="173B5D5E"/>
    <w:rsid w:val="175E75DA"/>
    <w:rsid w:val="175F21E0"/>
    <w:rsid w:val="17692BD3"/>
    <w:rsid w:val="176F55EC"/>
    <w:rsid w:val="17EF5421"/>
    <w:rsid w:val="18D6065D"/>
    <w:rsid w:val="18FB547A"/>
    <w:rsid w:val="199D3479"/>
    <w:rsid w:val="19A601AD"/>
    <w:rsid w:val="1A8159AF"/>
    <w:rsid w:val="1A9F4314"/>
    <w:rsid w:val="1AA134E6"/>
    <w:rsid w:val="1B0F33E7"/>
    <w:rsid w:val="1B5048E7"/>
    <w:rsid w:val="1BB16F78"/>
    <w:rsid w:val="1DBD6801"/>
    <w:rsid w:val="1F6651F5"/>
    <w:rsid w:val="1FF248E9"/>
    <w:rsid w:val="21C41D95"/>
    <w:rsid w:val="220A5568"/>
    <w:rsid w:val="22D301EA"/>
    <w:rsid w:val="242765A6"/>
    <w:rsid w:val="24522F71"/>
    <w:rsid w:val="249D38AB"/>
    <w:rsid w:val="24F611A3"/>
    <w:rsid w:val="25C754FC"/>
    <w:rsid w:val="262E1FA4"/>
    <w:rsid w:val="264A441D"/>
    <w:rsid w:val="26896C1B"/>
    <w:rsid w:val="27647DE2"/>
    <w:rsid w:val="27D7593B"/>
    <w:rsid w:val="27F30208"/>
    <w:rsid w:val="283456DE"/>
    <w:rsid w:val="28656037"/>
    <w:rsid w:val="28E5625E"/>
    <w:rsid w:val="291A704D"/>
    <w:rsid w:val="2925454B"/>
    <w:rsid w:val="295011FD"/>
    <w:rsid w:val="297E565E"/>
    <w:rsid w:val="29BA32CE"/>
    <w:rsid w:val="2A67704E"/>
    <w:rsid w:val="2AC12920"/>
    <w:rsid w:val="2C9C634E"/>
    <w:rsid w:val="2CB35CD0"/>
    <w:rsid w:val="2DB63C4D"/>
    <w:rsid w:val="2E362E1E"/>
    <w:rsid w:val="2E557143"/>
    <w:rsid w:val="2E6D741C"/>
    <w:rsid w:val="2F3C3AB5"/>
    <w:rsid w:val="2FA93322"/>
    <w:rsid w:val="2FB56FEF"/>
    <w:rsid w:val="2FC47E68"/>
    <w:rsid w:val="30423DB0"/>
    <w:rsid w:val="30D67F38"/>
    <w:rsid w:val="31104E26"/>
    <w:rsid w:val="313001A7"/>
    <w:rsid w:val="31DE5661"/>
    <w:rsid w:val="31F45071"/>
    <w:rsid w:val="32247CF1"/>
    <w:rsid w:val="32EF2618"/>
    <w:rsid w:val="33807373"/>
    <w:rsid w:val="33ED5A86"/>
    <w:rsid w:val="341574C2"/>
    <w:rsid w:val="346E2710"/>
    <w:rsid w:val="34907E1A"/>
    <w:rsid w:val="349525FE"/>
    <w:rsid w:val="34C73392"/>
    <w:rsid w:val="35BB688F"/>
    <w:rsid w:val="35EB3E83"/>
    <w:rsid w:val="36770B5A"/>
    <w:rsid w:val="37517B2A"/>
    <w:rsid w:val="3795703E"/>
    <w:rsid w:val="37AD0B34"/>
    <w:rsid w:val="3B12287A"/>
    <w:rsid w:val="3B171D47"/>
    <w:rsid w:val="3B453A21"/>
    <w:rsid w:val="3C223C3F"/>
    <w:rsid w:val="3DBF3BD6"/>
    <w:rsid w:val="3DD36A35"/>
    <w:rsid w:val="3E2C6C2D"/>
    <w:rsid w:val="3E611A98"/>
    <w:rsid w:val="3EB5616C"/>
    <w:rsid w:val="3F6510F5"/>
    <w:rsid w:val="3F7D2604"/>
    <w:rsid w:val="3F8F5714"/>
    <w:rsid w:val="401C569D"/>
    <w:rsid w:val="420A4FBC"/>
    <w:rsid w:val="424E280C"/>
    <w:rsid w:val="42AC04CF"/>
    <w:rsid w:val="437B7A37"/>
    <w:rsid w:val="4435089F"/>
    <w:rsid w:val="44482EB7"/>
    <w:rsid w:val="446E4133"/>
    <w:rsid w:val="45100F1C"/>
    <w:rsid w:val="457D3A88"/>
    <w:rsid w:val="45C30393"/>
    <w:rsid w:val="463E19DA"/>
    <w:rsid w:val="46C83D26"/>
    <w:rsid w:val="46D65396"/>
    <w:rsid w:val="478100DE"/>
    <w:rsid w:val="47C65C68"/>
    <w:rsid w:val="489957C4"/>
    <w:rsid w:val="4957740E"/>
    <w:rsid w:val="49AC3853"/>
    <w:rsid w:val="4B4200F2"/>
    <w:rsid w:val="4C404E05"/>
    <w:rsid w:val="4D6652A9"/>
    <w:rsid w:val="4D66798B"/>
    <w:rsid w:val="4DF70C4E"/>
    <w:rsid w:val="4E1D5FE4"/>
    <w:rsid w:val="4E5B7D45"/>
    <w:rsid w:val="4EFD595E"/>
    <w:rsid w:val="4FF11904"/>
    <w:rsid w:val="50302EA1"/>
    <w:rsid w:val="50424A0D"/>
    <w:rsid w:val="504534D6"/>
    <w:rsid w:val="50A4480D"/>
    <w:rsid w:val="50C44A1E"/>
    <w:rsid w:val="525505FD"/>
    <w:rsid w:val="52592075"/>
    <w:rsid w:val="52F26814"/>
    <w:rsid w:val="53D320FD"/>
    <w:rsid w:val="55A07EAA"/>
    <w:rsid w:val="55E25E5B"/>
    <w:rsid w:val="5682145E"/>
    <w:rsid w:val="56BA00C6"/>
    <w:rsid w:val="5709223E"/>
    <w:rsid w:val="57294EC2"/>
    <w:rsid w:val="5850142F"/>
    <w:rsid w:val="586158DC"/>
    <w:rsid w:val="589E29E2"/>
    <w:rsid w:val="5A5F1989"/>
    <w:rsid w:val="5C0C407C"/>
    <w:rsid w:val="5CD759F8"/>
    <w:rsid w:val="5D064FA8"/>
    <w:rsid w:val="5D831BCD"/>
    <w:rsid w:val="5DCE0CA6"/>
    <w:rsid w:val="5DD427A8"/>
    <w:rsid w:val="5E0F73B5"/>
    <w:rsid w:val="5E5D7BA0"/>
    <w:rsid w:val="5E6C4CB0"/>
    <w:rsid w:val="5F36124C"/>
    <w:rsid w:val="5F6D2860"/>
    <w:rsid w:val="5FDB5861"/>
    <w:rsid w:val="612C41D6"/>
    <w:rsid w:val="614B31F4"/>
    <w:rsid w:val="622F336A"/>
    <w:rsid w:val="630C1C7D"/>
    <w:rsid w:val="6320145F"/>
    <w:rsid w:val="639C0C44"/>
    <w:rsid w:val="63C71BA1"/>
    <w:rsid w:val="63DD7FC3"/>
    <w:rsid w:val="6461574E"/>
    <w:rsid w:val="64A839E3"/>
    <w:rsid w:val="64DD5F29"/>
    <w:rsid w:val="65E90BD5"/>
    <w:rsid w:val="65F446E4"/>
    <w:rsid w:val="65FE3386"/>
    <w:rsid w:val="671772AB"/>
    <w:rsid w:val="672A7DAB"/>
    <w:rsid w:val="69143FD7"/>
    <w:rsid w:val="69A22AF8"/>
    <w:rsid w:val="6A8A3FA3"/>
    <w:rsid w:val="6AC336F0"/>
    <w:rsid w:val="6B3D5B48"/>
    <w:rsid w:val="6D1A163E"/>
    <w:rsid w:val="6E803856"/>
    <w:rsid w:val="6E812178"/>
    <w:rsid w:val="6EA54470"/>
    <w:rsid w:val="6EDE60BC"/>
    <w:rsid w:val="6EF90D49"/>
    <w:rsid w:val="6F086094"/>
    <w:rsid w:val="701B7830"/>
    <w:rsid w:val="705A06BD"/>
    <w:rsid w:val="70A51D28"/>
    <w:rsid w:val="716870E4"/>
    <w:rsid w:val="72731EEE"/>
    <w:rsid w:val="728779BB"/>
    <w:rsid w:val="72AC3A4F"/>
    <w:rsid w:val="72BC7C63"/>
    <w:rsid w:val="72C83860"/>
    <w:rsid w:val="73E15F92"/>
    <w:rsid w:val="745471ED"/>
    <w:rsid w:val="745921D1"/>
    <w:rsid w:val="75167D2E"/>
    <w:rsid w:val="758B4939"/>
    <w:rsid w:val="75916D6A"/>
    <w:rsid w:val="75DE5010"/>
    <w:rsid w:val="76344381"/>
    <w:rsid w:val="76A528E0"/>
    <w:rsid w:val="77165211"/>
    <w:rsid w:val="78F51A1D"/>
    <w:rsid w:val="79003A58"/>
    <w:rsid w:val="79F4293D"/>
    <w:rsid w:val="7B115865"/>
    <w:rsid w:val="7B7536C8"/>
    <w:rsid w:val="7BF97DA6"/>
    <w:rsid w:val="7C040609"/>
    <w:rsid w:val="7D0D7552"/>
    <w:rsid w:val="7DD057F4"/>
    <w:rsid w:val="7E410D93"/>
    <w:rsid w:val="7FC86017"/>
    <w:rsid w:val="7FDD0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0"/>
    <w:pPr>
      <w:ind w:firstLine="420" w:firstLineChars="200"/>
    </w:pPr>
  </w:style>
  <w:style w:type="paragraph" w:styleId="4">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rPr>
  </w:style>
  <w:style w:type="paragraph" w:styleId="5">
    <w:name w:val="Block Text"/>
    <w:basedOn w:val="1"/>
    <w:unhideWhenUsed/>
    <w:qFormat/>
    <w:uiPriority w:val="99"/>
    <w:pPr>
      <w:spacing w:line="600" w:lineRule="exact"/>
      <w:ind w:left="-178" w:leftChars="-85" w:right="-334" w:rightChars="-159" w:firstLine="640" w:firstLineChars="200"/>
    </w:pPr>
    <w:rPr>
      <w:rFonts w:ascii="仿宋_GB2312" w:eastAsia="仿宋_GB2312"/>
      <w:sz w:val="32"/>
      <w:szCs w:val="3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jc w:val="left"/>
    </w:pPr>
    <w:rPr>
      <w:kern w:val="0"/>
      <w:sz w:val="24"/>
    </w:rPr>
  </w:style>
  <w:style w:type="character" w:styleId="10">
    <w:name w:val="Strong"/>
    <w:qFormat/>
    <w:uiPriority w:val="0"/>
    <w:rPr>
      <w:b/>
      <w:bCs/>
    </w:rPr>
  </w:style>
  <w:style w:type="paragraph" w:customStyle="1" w:styleId="11">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大亚湾经济技术开发区</Company>
  <Pages>9</Pages>
  <Words>3571</Words>
  <Characters>3775</Characters>
  <Lines>30</Lines>
  <Paragraphs>8</Paragraphs>
  <TotalTime>15</TotalTime>
  <ScaleCrop>false</ScaleCrop>
  <LinksUpToDate>false</LinksUpToDate>
  <CharactersWithSpaces>3802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2022-09-28T02:29:00Z</dcterms:created>
  <dc:creator>郑健杰</dc:creator>
  <cp:lastModifiedBy>肖鑫贵</cp:lastModifiedBy>
  <cp:lastPrinted>2026-02-10T02:42:00Z</cp:lastPrinted>
  <dcterms:modified xsi:type="dcterms:W3CDTF">2026-02-10T06:12:11Z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D7DDF9ADE8754D63A652B51A91562E55</vt:lpwstr>
  </property>
</Properties>
</file>