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60" w:lineRule="exact"/>
        <w:ind w:left="4018" w:hanging="4029" w:hangingChars="900"/>
        <w:jc w:val="center"/>
        <w:rPr>
          <w:rFonts w:ascii="华文中宋" w:hAnsi="华文中宋" w:eastAsia="华文中宋"/>
          <w:b/>
          <w:bCs/>
          <w:spacing w:val="3"/>
          <w:sz w:val="44"/>
          <w:szCs w:val="44"/>
        </w:rPr>
      </w:pPr>
      <w:r>
        <w:rPr>
          <w:rFonts w:hint="eastAsia" w:ascii="华文中宋" w:hAnsi="华文中宋" w:eastAsia="华文中宋"/>
          <w:b/>
          <w:bCs/>
          <w:spacing w:val="3"/>
          <w:sz w:val="44"/>
          <w:szCs w:val="44"/>
        </w:rPr>
        <w:t>惠州市国有建设用地使用权</w:t>
      </w:r>
    </w:p>
    <w:p>
      <w:pPr>
        <w:tabs>
          <w:tab w:val="left" w:pos="11340"/>
        </w:tabs>
        <w:spacing w:line="560" w:lineRule="exact"/>
        <w:ind w:left="4018" w:hanging="4029" w:hangingChars="900"/>
        <w:jc w:val="center"/>
        <w:rPr>
          <w:rFonts w:ascii="华文中宋" w:hAnsi="华文中宋" w:eastAsia="华文中宋"/>
          <w:b/>
          <w:bCs/>
          <w:sz w:val="44"/>
          <w:szCs w:val="44"/>
        </w:rPr>
      </w:pPr>
      <w:r>
        <w:rPr>
          <w:rFonts w:hint="eastAsia" w:ascii="华文中宋" w:hAnsi="华文中宋" w:eastAsia="华文中宋"/>
          <w:b/>
          <w:bCs/>
          <w:spacing w:val="3"/>
          <w:sz w:val="44"/>
          <w:szCs w:val="44"/>
        </w:rPr>
        <w:t>网上挂牌</w:t>
      </w:r>
      <w:r>
        <w:rPr>
          <w:rFonts w:hint="eastAsia" w:ascii="华文中宋" w:hAnsi="华文中宋" w:eastAsia="华文中宋"/>
          <w:b/>
          <w:bCs/>
          <w:sz w:val="44"/>
          <w:szCs w:val="44"/>
        </w:rPr>
        <w:t>出让公告</w:t>
      </w:r>
    </w:p>
    <w:p>
      <w:pPr>
        <w:spacing w:line="56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惠湾资源挂出让（</w:t>
      </w:r>
      <w:r>
        <w:rPr>
          <w:rFonts w:hint="eastAsia" w:ascii="仿宋" w:hAnsi="仿宋" w:eastAsia="仿宋" w:cs="仿宋_GB2312"/>
          <w:color w:val="auto"/>
          <w:sz w:val="32"/>
          <w:szCs w:val="32"/>
        </w:rPr>
        <w:t>告）[2024]0</w:t>
      </w:r>
      <w:r>
        <w:rPr>
          <w:rFonts w:hint="eastAsia" w:ascii="仿宋" w:hAnsi="仿宋" w:eastAsia="仿宋" w:cs="仿宋_GB2312"/>
          <w:color w:val="auto"/>
          <w:sz w:val="32"/>
          <w:szCs w:val="32"/>
          <w:lang w:val="en-US" w:eastAsia="zh-CN"/>
        </w:rPr>
        <w:t>14</w:t>
      </w:r>
      <w:r>
        <w:rPr>
          <w:rFonts w:hint="eastAsia" w:ascii="仿宋" w:hAnsi="仿宋" w:eastAsia="仿宋" w:cs="仿宋_GB2312"/>
          <w:color w:val="auto"/>
          <w:sz w:val="32"/>
          <w:szCs w:val="32"/>
        </w:rPr>
        <w:t>号</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根据《招标拍卖挂牌出让国有建设用地使用权规定》（国土资源部令第39号）和《广东省国有建设用地使用权交易市场管理规定》（广东省人民政府令第304号）的规定，经批准，我局决定以网上挂牌方式公开出让下列一宗国有建设用地使用权。现将有关事项公告如下：</w:t>
      </w:r>
    </w:p>
    <w:p>
      <w:pPr>
        <w:spacing w:line="560" w:lineRule="exact"/>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一、网上挂牌出让地块基本情况及规划指标要求（见附表）</w:t>
      </w:r>
    </w:p>
    <w:p>
      <w:pPr>
        <w:spacing w:line="560" w:lineRule="exact"/>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二、挂牌起始价及加价幅度</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挂牌起始价为人民币</w:t>
      </w:r>
      <w:r>
        <w:rPr>
          <w:rFonts w:hint="eastAsia" w:ascii="仿宋" w:hAnsi="仿宋" w:eastAsia="仿宋" w:cs="华文仿宋"/>
          <w:sz w:val="32"/>
          <w:szCs w:val="32"/>
          <w:u w:val="single"/>
          <w:lang w:val="en-US" w:eastAsia="zh-CN"/>
        </w:rPr>
        <w:t>9477</w:t>
      </w:r>
      <w:r>
        <w:rPr>
          <w:rFonts w:hint="eastAsia" w:ascii="仿宋" w:hAnsi="仿宋" w:eastAsia="仿宋" w:cs="华文仿宋"/>
          <w:sz w:val="32"/>
          <w:szCs w:val="32"/>
        </w:rPr>
        <w:t>万元,每次报价加价幅度为人民币</w:t>
      </w:r>
      <w:r>
        <w:rPr>
          <w:rFonts w:hint="eastAsia" w:ascii="仿宋" w:hAnsi="仿宋" w:eastAsia="仿宋" w:cs="华文仿宋"/>
          <w:sz w:val="32"/>
          <w:szCs w:val="32"/>
          <w:u w:val="single"/>
        </w:rPr>
        <w:t>100</w:t>
      </w:r>
      <w:r>
        <w:rPr>
          <w:rFonts w:hint="eastAsia" w:ascii="仿宋" w:hAnsi="仿宋" w:eastAsia="仿宋" w:cs="华文仿宋"/>
          <w:sz w:val="32"/>
          <w:szCs w:val="32"/>
        </w:rPr>
        <w:t>万元的整数倍。</w:t>
      </w:r>
    </w:p>
    <w:p>
      <w:pPr>
        <w:spacing w:line="560" w:lineRule="exact"/>
        <w:ind w:firstLine="643" w:firstLineChars="200"/>
        <w:rPr>
          <w:rFonts w:ascii="仿宋" w:hAnsi="仿宋" w:eastAsia="仿宋" w:cs="华文仿宋"/>
          <w:b/>
          <w:bCs/>
          <w:sz w:val="32"/>
          <w:szCs w:val="32"/>
        </w:rPr>
      </w:pPr>
      <w:r>
        <w:rPr>
          <w:rFonts w:hint="eastAsia" w:ascii="仿宋" w:hAnsi="仿宋" w:eastAsia="仿宋" w:cs="华文仿宋"/>
          <w:b/>
          <w:bCs/>
          <w:sz w:val="32"/>
          <w:szCs w:val="32"/>
        </w:rPr>
        <w:t>三、时间安排</w:t>
      </w:r>
    </w:p>
    <w:p>
      <w:pPr>
        <w:spacing w:line="56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（一）公告时间：2024年9月</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日至2024年10月</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日。</w:t>
      </w:r>
    </w:p>
    <w:p>
      <w:pPr>
        <w:spacing w:line="56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（二）网上挂牌竞买时间：2024年10月</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日9时至2024年10月</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日10时。</w:t>
      </w:r>
    </w:p>
    <w:p>
      <w:pPr>
        <w:spacing w:line="56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（三）竞买保证金到账截止时间为：2024年10月</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日9时。</w:t>
      </w:r>
      <w:bookmarkStart w:id="0" w:name="_GoBack"/>
      <w:bookmarkEnd w:id="0"/>
    </w:p>
    <w:p>
      <w:pPr>
        <w:spacing w:line="560" w:lineRule="exact"/>
        <w:ind w:firstLine="643" w:firstLineChars="200"/>
        <w:rPr>
          <w:rFonts w:hint="eastAsia" w:ascii="仿宋" w:hAnsi="仿宋" w:eastAsia="仿宋" w:cs="华文仿宋"/>
          <w:b/>
          <w:bCs/>
          <w:sz w:val="32"/>
          <w:szCs w:val="32"/>
        </w:rPr>
      </w:pPr>
      <w:r>
        <w:rPr>
          <w:rFonts w:hint="eastAsia" w:ascii="仿宋" w:hAnsi="仿宋" w:eastAsia="仿宋" w:cs="华文仿宋"/>
          <w:b/>
          <w:bCs/>
          <w:sz w:val="32"/>
          <w:szCs w:val="32"/>
        </w:rPr>
        <w:t>四、竞买资格及要求</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中华人民共和国境内外的法人和其他组织，符合竞买资格条件的,均可通过网上挂牌交易系统，申请参加电子挂牌交易活动，法律、法规另有规定的从其规定。</w:t>
      </w:r>
    </w:p>
    <w:p>
      <w:pPr>
        <w:pStyle w:val="4"/>
        <w:widowControl w:val="0"/>
        <w:spacing w:before="0" w:line="560" w:lineRule="exact"/>
        <w:jc w:val="both"/>
        <w:rPr>
          <w:rFonts w:ascii="仿宋" w:hAnsi="仿宋" w:eastAsia="仿宋" w:cs="华文仿宋"/>
          <w:szCs w:val="32"/>
        </w:rPr>
      </w:pPr>
      <w:r>
        <w:rPr>
          <w:rFonts w:hint="eastAsia" w:ascii="仿宋" w:hAnsi="仿宋" w:eastAsia="仿宋" w:cs="华文仿宋"/>
          <w:szCs w:val="32"/>
        </w:rPr>
        <w:t>（一）交纳足额竞买保证金；</w:t>
      </w:r>
    </w:p>
    <w:p>
      <w:pPr>
        <w:pStyle w:val="7"/>
        <w:widowControl/>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（二）存在下列行为之一的企业及其控股股东，不得参与竞买上述地块：</w:t>
      </w:r>
    </w:p>
    <w:p>
      <w:pPr>
        <w:pStyle w:val="7"/>
        <w:widowControl/>
        <w:spacing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1、伪造公文骗取用地行为；</w:t>
      </w:r>
    </w:p>
    <w:p>
      <w:pPr>
        <w:pStyle w:val="7"/>
        <w:widowControl/>
        <w:spacing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2、非法转让土地使用权行为；</w:t>
      </w:r>
    </w:p>
    <w:p>
      <w:pPr>
        <w:pStyle w:val="7"/>
        <w:widowControl/>
        <w:spacing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3、因企业原因造成土地闲置一年以上且至报名日止未处理完结；</w:t>
      </w:r>
    </w:p>
    <w:p>
      <w:pPr>
        <w:pStyle w:val="7"/>
        <w:widowControl/>
        <w:spacing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4、未按出让合同约定条件开发利用土地且至报名日止未处理完结；</w:t>
      </w:r>
    </w:p>
    <w:p>
      <w:pPr>
        <w:pStyle w:val="7"/>
        <w:widowControl/>
        <w:spacing w:line="560" w:lineRule="exact"/>
        <w:ind w:firstLine="640" w:firstLineChars="200"/>
        <w:jc w:val="both"/>
        <w:rPr>
          <w:rFonts w:ascii="仿宋" w:hAnsi="仿宋" w:eastAsia="仿宋" w:cs="华文仿宋"/>
          <w:sz w:val="32"/>
          <w:szCs w:val="32"/>
        </w:rPr>
      </w:pPr>
      <w:r>
        <w:rPr>
          <w:rFonts w:hint="eastAsia" w:ascii="仿宋" w:hAnsi="仿宋" w:eastAsia="仿宋" w:cs="华文仿宋"/>
          <w:sz w:val="32"/>
          <w:szCs w:val="32"/>
        </w:rPr>
        <w:t>5、至报名日止仍拖欠政府地价款;</w:t>
      </w:r>
    </w:p>
    <w:p>
      <w:pPr>
        <w:pStyle w:val="4"/>
        <w:widowControl w:val="0"/>
        <w:spacing w:before="0" w:line="560" w:lineRule="exact"/>
        <w:jc w:val="both"/>
        <w:rPr>
          <w:rFonts w:ascii="仿宋" w:hAnsi="仿宋" w:eastAsia="仿宋" w:cs="华文仿宋"/>
          <w:szCs w:val="32"/>
        </w:rPr>
      </w:pPr>
      <w:r>
        <w:rPr>
          <w:rFonts w:hint="eastAsia" w:ascii="仿宋" w:hAnsi="仿宋" w:eastAsia="仿宋" w:cs="华文仿宋"/>
          <w:szCs w:val="32"/>
        </w:rPr>
        <w:t>6、未履行完毕生效法律文书确定的相关义务的失信被执行人的；</w:t>
      </w:r>
    </w:p>
    <w:p>
      <w:pPr>
        <w:pStyle w:val="4"/>
        <w:widowControl w:val="0"/>
        <w:spacing w:before="0" w:line="560" w:lineRule="exact"/>
        <w:jc w:val="both"/>
        <w:rPr>
          <w:rFonts w:ascii="仿宋" w:hAnsi="仿宋" w:eastAsia="仿宋" w:cs="华文仿宋"/>
          <w:szCs w:val="32"/>
        </w:rPr>
      </w:pPr>
      <w:r>
        <w:rPr>
          <w:rFonts w:hint="eastAsia" w:ascii="仿宋" w:hAnsi="仿宋" w:eastAsia="仿宋" w:cs="华文仿宋"/>
          <w:szCs w:val="32"/>
        </w:rPr>
        <w:t>7、存在其它被禁止竞买土地行为的。</w:t>
      </w:r>
    </w:p>
    <w:p>
      <w:pPr>
        <w:pStyle w:val="4"/>
        <w:keepNext w:val="0"/>
        <w:keepLines w:val="0"/>
        <w:pageBreakBefore w:val="0"/>
        <w:widowControl w:val="0"/>
        <w:kinsoku/>
        <w:wordWrap/>
        <w:overflowPunct/>
        <w:topLinePunct w:val="0"/>
        <w:autoSpaceDE/>
        <w:autoSpaceDN/>
        <w:bidi w:val="0"/>
        <w:spacing w:before="0" w:line="560" w:lineRule="exact"/>
        <w:ind w:firstLine="643" w:firstLineChars="200"/>
        <w:jc w:val="both"/>
        <w:textAlignment w:val="auto"/>
        <w:rPr>
          <w:rFonts w:ascii="仿宋" w:hAnsi="仿宋" w:eastAsia="仿宋" w:cs="华文仿宋"/>
          <w:b/>
          <w:bCs/>
          <w:szCs w:val="32"/>
        </w:rPr>
      </w:pPr>
      <w:r>
        <w:rPr>
          <w:rFonts w:hint="eastAsia" w:ascii="仿宋" w:hAnsi="仿宋" w:eastAsia="仿宋" w:cs="华文仿宋"/>
          <w:b/>
          <w:bCs/>
          <w:szCs w:val="32"/>
        </w:rPr>
        <w:t>五、竞买保证金</w:t>
      </w:r>
    </w:p>
    <w:p>
      <w:pPr>
        <w:pStyle w:val="4"/>
        <w:keepNext w:val="0"/>
        <w:keepLines w:val="0"/>
        <w:pageBreakBefore w:val="0"/>
        <w:widowControl w:val="0"/>
        <w:kinsoku/>
        <w:wordWrap/>
        <w:overflowPunct/>
        <w:topLinePunct w:val="0"/>
        <w:autoSpaceDE/>
        <w:autoSpaceDN/>
        <w:bidi w:val="0"/>
        <w:spacing w:before="0" w:line="560" w:lineRule="exact"/>
        <w:ind w:firstLine="640" w:firstLineChars="200"/>
        <w:jc w:val="both"/>
        <w:textAlignment w:val="auto"/>
        <w:rPr>
          <w:rFonts w:ascii="仿宋" w:hAnsi="仿宋" w:eastAsia="仿宋" w:cs="华文仿宋"/>
          <w:szCs w:val="32"/>
        </w:rPr>
      </w:pPr>
      <w:r>
        <w:rPr>
          <w:rFonts w:hint="eastAsia" w:ascii="仿宋" w:hAnsi="仿宋" w:eastAsia="仿宋" w:cs="华文仿宋"/>
          <w:szCs w:val="32"/>
        </w:rPr>
        <w:t>（一）该宗地竞买保证金为人民币</w:t>
      </w:r>
      <w:r>
        <w:rPr>
          <w:rFonts w:hint="eastAsia" w:ascii="仿宋" w:hAnsi="仿宋" w:eastAsia="仿宋" w:cs="华文仿宋"/>
          <w:szCs w:val="32"/>
          <w:u w:val="single"/>
          <w:lang w:val="en-US" w:eastAsia="zh-CN"/>
        </w:rPr>
        <w:t>20</w:t>
      </w:r>
      <w:r>
        <w:rPr>
          <w:rFonts w:hint="eastAsia" w:ascii="仿宋" w:hAnsi="仿宋" w:eastAsia="仿宋" w:cs="华文仿宋"/>
          <w:szCs w:val="32"/>
          <w:u w:val="single"/>
        </w:rPr>
        <w:t>00</w:t>
      </w:r>
      <w:r>
        <w:rPr>
          <w:rFonts w:hint="eastAsia" w:ascii="仿宋" w:hAnsi="仿宋" w:eastAsia="仿宋" w:cs="华文仿宋"/>
          <w:szCs w:val="32"/>
        </w:rPr>
        <w:t>万元。</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w:t>
      </w:r>
      <w:r>
        <w:rPr>
          <w:rFonts w:hint="eastAsia" w:ascii="仿宋" w:hAnsi="仿宋" w:eastAsia="仿宋" w:cs="华文仿宋"/>
          <w:color w:val="auto"/>
          <w:sz w:val="32"/>
          <w:szCs w:val="32"/>
        </w:rPr>
        <w:t>申请人应当在网上挂牌出让竞买保证金到账截止时间前登录惠州市公共资源交易中心土地与矿业挂牌电子交易系统（以下简称“电子交易系统”）获取竞买保证金支付账号。</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（三）竞买保证金到账时间以网上挂牌交易系统确认并发出《</w:t>
      </w:r>
      <w:r>
        <w:rPr>
          <w:rFonts w:hint="eastAsia" w:ascii="仿宋" w:hAnsi="仿宋" w:eastAsia="仿宋" w:cs="华文仿宋"/>
          <w:sz w:val="32"/>
          <w:szCs w:val="32"/>
          <w:lang w:val="en-US" w:eastAsia="zh-CN"/>
        </w:rPr>
        <w:t>竞买</w:t>
      </w:r>
      <w:r>
        <w:rPr>
          <w:rFonts w:hint="eastAsia" w:ascii="仿宋" w:hAnsi="仿宋" w:eastAsia="仿宋" w:cs="华文仿宋"/>
          <w:sz w:val="32"/>
          <w:szCs w:val="32"/>
        </w:rPr>
        <w:t>保证金到账通知书》为准。</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六、竞买申请</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本宗国有建设用地使用权网上挂牌出让只接受网上竞买申请，即通过</w:t>
      </w:r>
      <w:r>
        <w:rPr>
          <w:rFonts w:hint="eastAsia" w:ascii="仿宋" w:hAnsi="仿宋" w:eastAsia="仿宋" w:cs="华文仿宋"/>
          <w:sz w:val="32"/>
          <w:szCs w:val="32"/>
          <w:lang w:val="en-US" w:eastAsia="zh-CN"/>
        </w:rPr>
        <w:t>电子</w:t>
      </w:r>
      <w:r>
        <w:rPr>
          <w:rFonts w:hint="eastAsia" w:ascii="仿宋" w:hAnsi="仿宋" w:eastAsia="仿宋" w:cs="华文仿宋"/>
          <w:sz w:val="32"/>
          <w:szCs w:val="32"/>
        </w:rPr>
        <w:t>交易系统进行，不接受电话、邮寄、书面、电子邮件及口头竞买。凡办理数字证书、按要求足额交纳竞买保证金的申请人，方可参加网上挂牌交易活动。</w:t>
      </w:r>
    </w:p>
    <w:p>
      <w:pPr>
        <w:pStyle w:val="7"/>
        <w:widowControl/>
        <w:spacing w:line="560" w:lineRule="exact"/>
        <w:ind w:firstLine="645"/>
        <w:jc w:val="both"/>
        <w:rPr>
          <w:rFonts w:ascii="仿宋" w:hAnsi="仿宋" w:eastAsia="仿宋" w:cs="仿宋"/>
          <w:sz w:val="32"/>
          <w:szCs w:val="32"/>
        </w:rPr>
      </w:pPr>
      <w:r>
        <w:rPr>
          <w:rFonts w:hint="eastAsia" w:ascii="仿宋" w:hAnsi="仿宋" w:eastAsia="仿宋" w:cs="仿宋"/>
          <w:sz w:val="32"/>
          <w:szCs w:val="32"/>
        </w:rPr>
        <w:t>可以单独申请，也可以联合申请。如对联合竞买申请人的开发资质条件有明确要求的，在审查联合竞买申请人资质时，以联合体内资质最低一方的资质确定竞买资格条件。</w:t>
      </w:r>
    </w:p>
    <w:p>
      <w:pPr>
        <w:pStyle w:val="3"/>
        <w:spacing w:line="560" w:lineRule="exact"/>
        <w:ind w:firstLine="579" w:firstLineChars="181"/>
        <w:rPr>
          <w:rFonts w:ascii="仿宋" w:hAnsi="仿宋" w:eastAsia="仿宋" w:cs="仿宋"/>
        </w:rPr>
      </w:pPr>
      <w:r>
        <w:rPr>
          <w:rFonts w:hint="eastAsia" w:ascii="仿宋" w:hAnsi="仿宋" w:eastAsia="仿宋" w:cs="仿宋"/>
          <w:sz w:val="32"/>
          <w:szCs w:val="32"/>
        </w:rPr>
        <w:t>本宗国有建设用地使用权网上挂牌出让实行</w:t>
      </w:r>
      <w:r>
        <w:rPr>
          <w:rFonts w:hint="eastAsia" w:ascii="仿宋" w:hAnsi="仿宋" w:eastAsia="仿宋" w:cs="仿宋"/>
          <w:kern w:val="0"/>
          <w:sz w:val="32"/>
          <w:szCs w:val="32"/>
        </w:rPr>
        <w:t>竞买资格后置审查</w:t>
      </w:r>
      <w:r>
        <w:rPr>
          <w:rFonts w:hint="eastAsia" w:ascii="仿宋" w:hAnsi="仿宋" w:eastAsia="仿宋" w:cs="仿宋"/>
          <w:sz w:val="32"/>
          <w:szCs w:val="32"/>
        </w:rPr>
        <w:t>。竞买申请人交纳足额竞买保证金即获得竞买报价权限。</w:t>
      </w:r>
    </w:p>
    <w:p>
      <w:pPr>
        <w:pStyle w:val="4"/>
        <w:keepNext w:val="0"/>
        <w:keepLines w:val="0"/>
        <w:pageBreakBefore w:val="0"/>
        <w:widowControl w:val="0"/>
        <w:kinsoku/>
        <w:wordWrap/>
        <w:overflowPunct/>
        <w:topLinePunct w:val="0"/>
        <w:autoSpaceDE/>
        <w:autoSpaceDN/>
        <w:bidi w:val="0"/>
        <w:spacing w:before="0" w:line="560" w:lineRule="exact"/>
        <w:ind w:firstLine="643" w:firstLineChars="200"/>
        <w:jc w:val="both"/>
        <w:textAlignment w:val="auto"/>
        <w:rPr>
          <w:rFonts w:ascii="仿宋" w:hAnsi="仿宋" w:eastAsia="仿宋" w:cs="华文仿宋"/>
          <w:b/>
          <w:bCs/>
          <w:szCs w:val="32"/>
        </w:rPr>
      </w:pPr>
      <w:r>
        <w:rPr>
          <w:rFonts w:hint="eastAsia" w:ascii="仿宋" w:hAnsi="仿宋" w:eastAsia="仿宋" w:cs="华文仿宋"/>
          <w:b/>
          <w:bCs/>
          <w:szCs w:val="32"/>
        </w:rPr>
        <w:t>七、竞买人电子报价及电子限时竞价</w:t>
      </w:r>
    </w:p>
    <w:p>
      <w:pPr>
        <w:pStyle w:val="3"/>
        <w:spacing w:line="560" w:lineRule="exact"/>
        <w:ind w:firstLine="579" w:firstLineChars="181"/>
        <w:rPr>
          <w:rFonts w:ascii="仿宋" w:hAnsi="仿宋" w:eastAsia="仿宋" w:cs="华文仿宋"/>
          <w:kern w:val="0"/>
          <w:sz w:val="32"/>
          <w:szCs w:val="32"/>
        </w:rPr>
      </w:pPr>
      <w:r>
        <w:rPr>
          <w:rFonts w:hint="eastAsia" w:ascii="仿宋" w:hAnsi="仿宋" w:eastAsia="仿宋" w:cs="华文仿宋"/>
          <w:sz w:val="32"/>
          <w:szCs w:val="32"/>
        </w:rPr>
        <w:t>竞买人须详细阅读本宗地网上挂牌出让公告、竞买须知及网上挂牌交易系统操作指南，熟练操作网上挂牌交易系统，按竞买规则进行电子报价及电子限时竞价。</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八、确定成交候选人</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华文仿宋"/>
          <w:sz w:val="32"/>
          <w:szCs w:val="32"/>
        </w:rPr>
      </w:pPr>
      <w:r>
        <w:rPr>
          <w:rFonts w:hint="eastAsia" w:ascii="仿宋" w:hAnsi="仿宋" w:eastAsia="仿宋" w:cs="华文仿宋"/>
          <w:sz w:val="32"/>
          <w:szCs w:val="32"/>
        </w:rPr>
        <w:t>本宗国有建设用地使用权网上挂牌出让为无底价挂牌，采取“价高者得”方式出让并确定成交候选人。</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九、资格审查</w:t>
      </w:r>
    </w:p>
    <w:p>
      <w:pPr>
        <w:pStyle w:val="3"/>
        <w:spacing w:line="560" w:lineRule="exact"/>
        <w:ind w:firstLine="579" w:firstLineChars="181"/>
        <w:rPr>
          <w:rFonts w:ascii="仿宋" w:hAnsi="仿宋" w:eastAsia="仿宋" w:cs="华文仿宋"/>
          <w:sz w:val="32"/>
          <w:szCs w:val="32"/>
        </w:rPr>
      </w:pPr>
      <w:r>
        <w:rPr>
          <w:rFonts w:hint="eastAsia" w:ascii="仿宋" w:hAnsi="仿宋" w:eastAsia="仿宋" w:cs="仿宋"/>
          <w:sz w:val="32"/>
          <w:szCs w:val="32"/>
        </w:rPr>
        <w:t>成交候选人应在</w:t>
      </w:r>
      <w:r>
        <w:rPr>
          <w:rFonts w:hint="eastAsia" w:ascii="仿宋" w:hAnsi="仿宋" w:eastAsia="仿宋" w:cs="仿宋"/>
          <w:sz w:val="32"/>
          <w:szCs w:val="32"/>
          <w:lang w:val="en-US" w:eastAsia="zh-CN"/>
        </w:rPr>
        <w:t>电子</w:t>
      </w:r>
      <w:r>
        <w:rPr>
          <w:rFonts w:hint="eastAsia" w:ascii="仿宋" w:hAnsi="仿宋" w:eastAsia="仿宋" w:cs="仿宋"/>
          <w:sz w:val="32"/>
          <w:szCs w:val="32"/>
        </w:rPr>
        <w:t>交易系统</w:t>
      </w:r>
      <w:r>
        <w:rPr>
          <w:rFonts w:hint="eastAsia" w:ascii="仿宋" w:hAnsi="仿宋" w:eastAsia="仿宋" w:cs="仿宋"/>
          <w:color w:val="auto"/>
          <w:sz w:val="32"/>
          <w:szCs w:val="32"/>
        </w:rPr>
        <w:t>确定成交候选人之日起2个工作日内将竞买申请书等材料上传至电子交易系统</w:t>
      </w:r>
      <w:r>
        <w:rPr>
          <w:rFonts w:hint="eastAsia" w:ascii="仿宋" w:hAnsi="仿宋" w:eastAsia="仿宋" w:cs="仿宋"/>
          <w:sz w:val="32"/>
          <w:szCs w:val="32"/>
        </w:rPr>
        <w:t>，由我局对竞买资格进行审查。我局将于1个工作日确定符合竞买资格的成交候选人为竞得人（成交候选人上传材料的具体操作详见网上挂牌交易系统资料下载栏目中的《惠州市公共资源交易中心土地与矿业交易系统新增建设功能操作指南》）。</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成交候选人资格审查须提交下列材料：</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（一）《竞买申请书》（加盖公章）；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（二）《竞价结果通知书》（加盖公章）；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（三）《竞买保证金到账通知书》（加盖公章）；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（四）竞买保证金转账凭证复印件（加盖公章）；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（五）申请竞买人有效的《营业执照》复印件（加盖公章）；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（六）法定代表人身份证复印件（加盖公章）；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（七）授权他人代理的授权委托书及代理人身份证复印件（核对原件）；</w:t>
      </w:r>
    </w:p>
    <w:p>
      <w:pPr>
        <w:pStyle w:val="7"/>
        <w:widowControl/>
        <w:ind w:left="645"/>
        <w:rPr>
          <w:rFonts w:ascii="仿宋" w:hAnsi="仿宋" w:eastAsia="仿宋" w:cs="仿宋"/>
          <w:kern w:val="2"/>
          <w:sz w:val="32"/>
          <w:szCs w:val="32"/>
        </w:rPr>
      </w:pPr>
      <w:r>
        <w:rPr>
          <w:rFonts w:hint="eastAsia" w:ascii="仿宋" w:hAnsi="仿宋" w:eastAsia="仿宋" w:cs="仿宋"/>
          <w:kern w:val="2"/>
          <w:sz w:val="32"/>
          <w:szCs w:val="32"/>
        </w:rPr>
        <w:t>（八）法人和非法人组织公共信用信息报告（盖公章）</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（九）联合竞买协议（联合竞买的提供）；</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（十）竞买人及其控股股东不存在违法、违规、违约行为的承诺书。</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十、</w:t>
      </w:r>
      <w:r>
        <w:rPr>
          <w:rFonts w:hint="eastAsia" w:ascii="仿宋" w:hAnsi="仿宋" w:eastAsia="仿宋"/>
          <w:b/>
          <w:bCs/>
          <w:sz w:val="32"/>
          <w:szCs w:val="32"/>
        </w:rPr>
        <w:t>签订交易成交确认书及出让合同</w:t>
      </w:r>
    </w:p>
    <w:p>
      <w:pPr>
        <w:spacing w:line="560" w:lineRule="exact"/>
        <w:ind w:firstLine="555"/>
        <w:rPr>
          <w:rFonts w:ascii="仿宋" w:hAnsi="仿宋" w:eastAsia="仿宋" w:cs="华文仿宋"/>
          <w:sz w:val="32"/>
          <w:szCs w:val="32"/>
        </w:rPr>
      </w:pPr>
      <w:r>
        <w:rPr>
          <w:rFonts w:hint="eastAsia" w:ascii="仿宋" w:hAnsi="仿宋" w:eastAsia="仿宋" w:cs="华文仿宋"/>
          <w:sz w:val="32"/>
          <w:szCs w:val="32"/>
        </w:rPr>
        <w:t>竞得人应在接到竞得人确定通知之日起</w:t>
      </w:r>
      <w:r>
        <w:rPr>
          <w:rFonts w:hint="eastAsia" w:ascii="仿宋" w:hAnsi="仿宋" w:eastAsia="仿宋" w:cs="华文仿宋"/>
          <w:sz w:val="32"/>
          <w:szCs w:val="32"/>
          <w:u w:val="single"/>
        </w:rPr>
        <w:t>5</w:t>
      </w:r>
      <w:r>
        <w:rPr>
          <w:rFonts w:hint="eastAsia" w:ascii="仿宋" w:hAnsi="仿宋" w:eastAsia="仿宋" w:cs="华文仿宋"/>
          <w:sz w:val="32"/>
          <w:szCs w:val="32"/>
        </w:rPr>
        <w:t>个工作日内与我局、交易中心签订《成交确认书》，在签订《成交确认书》之日起</w:t>
      </w:r>
      <w:r>
        <w:rPr>
          <w:rFonts w:hint="eastAsia" w:ascii="仿宋" w:hAnsi="仿宋" w:eastAsia="仿宋" w:cs="华文仿宋"/>
          <w:sz w:val="32"/>
          <w:szCs w:val="32"/>
          <w:u w:val="single"/>
        </w:rPr>
        <w:t>10</w:t>
      </w:r>
      <w:r>
        <w:rPr>
          <w:rFonts w:hint="eastAsia" w:ascii="仿宋" w:hAnsi="仿宋" w:eastAsia="仿宋" w:cs="华文仿宋"/>
          <w:sz w:val="32"/>
          <w:szCs w:val="32"/>
        </w:rPr>
        <w:t>日内与我局签订《国有建设用地使用权出让合同》。</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十一、竞买保证金退还或转付成交价款</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签订交易合同，竞得人交纳的竞买保证金按成交价的</w:t>
      </w:r>
      <w:r>
        <w:rPr>
          <w:rFonts w:hint="eastAsia" w:ascii="仿宋" w:hAnsi="仿宋" w:eastAsia="仿宋" w:cs="华文仿宋"/>
          <w:sz w:val="32"/>
          <w:szCs w:val="32"/>
          <w:u w:val="single"/>
        </w:rPr>
        <w:t>20</w:t>
      </w:r>
      <w:r>
        <w:rPr>
          <w:rFonts w:hint="eastAsia" w:ascii="仿宋" w:hAnsi="仿宋" w:eastAsia="仿宋" w:cs="华文仿宋"/>
          <w:sz w:val="32"/>
          <w:szCs w:val="32"/>
        </w:rPr>
        <w:t>%转作受让宗地的定金。如竞买保证金不足以交纳定金，不足部分在交易系统确定成交之日起5个工作日内补齐；如竞买保证金转作定金后有剩余，余额转作宗地成交价款，定金可抵作宗地成交价款。</w:t>
      </w:r>
      <w:r>
        <w:rPr>
          <w:rFonts w:hint="eastAsia" w:ascii="仿宋" w:hAnsi="仿宋" w:eastAsia="仿宋" w:cs="仿宋"/>
          <w:sz w:val="32"/>
          <w:szCs w:val="32"/>
        </w:rPr>
        <w:t>本项目只接受以人民币缴交竞买保证金。</w:t>
      </w:r>
    </w:p>
    <w:p>
      <w:pPr>
        <w:pStyle w:val="3"/>
        <w:spacing w:line="560" w:lineRule="exact"/>
        <w:ind w:firstLine="640"/>
        <w:rPr>
          <w:rFonts w:ascii="仿宋" w:hAnsi="仿宋" w:eastAsia="仿宋" w:cs="华文仿宋"/>
          <w:sz w:val="32"/>
          <w:szCs w:val="32"/>
        </w:rPr>
      </w:pPr>
      <w:r>
        <w:rPr>
          <w:rFonts w:hint="eastAsia" w:ascii="仿宋" w:hAnsi="仿宋" w:eastAsia="仿宋" w:cs="华文仿宋"/>
          <w:sz w:val="32"/>
          <w:szCs w:val="32"/>
        </w:rPr>
        <w:t>未竞得人交纳的竞买保证金于电子挂牌交易活动结束之日起5个工作日内原路退还，不计利息。</w:t>
      </w:r>
    </w:p>
    <w:p>
      <w:pPr>
        <w:pStyle w:val="3"/>
        <w:spacing w:line="560" w:lineRule="exact"/>
        <w:ind w:firstLine="640"/>
        <w:rPr>
          <w:rFonts w:ascii="仿宋" w:hAnsi="仿宋" w:eastAsia="仿宋" w:cs="华文仿宋"/>
          <w:color w:val="auto"/>
          <w:sz w:val="32"/>
          <w:szCs w:val="32"/>
        </w:rPr>
      </w:pPr>
      <w:r>
        <w:rPr>
          <w:rFonts w:hint="eastAsia" w:ascii="仿宋" w:hAnsi="仿宋" w:eastAsia="仿宋" w:cs="华文仿宋"/>
          <w:sz w:val="32"/>
          <w:szCs w:val="32"/>
        </w:rPr>
        <w:t>竞得人交纳的竞买保证金转付成交价款，竞得人应带齐如下</w:t>
      </w:r>
      <w:r>
        <w:rPr>
          <w:rFonts w:hint="eastAsia" w:ascii="仿宋" w:hAnsi="仿宋" w:eastAsia="仿宋" w:cs="华文仿宋"/>
          <w:color w:val="auto"/>
          <w:sz w:val="32"/>
          <w:szCs w:val="32"/>
        </w:rPr>
        <w:t>相关资料到交易中心办理转付成交价款手续：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保证金转账凭证。</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十二、成交价款支付方式及期限</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土地成交价款须以人民币支付,竞得人在签订出让合同之日</w:t>
      </w:r>
      <w:r>
        <w:rPr>
          <w:rFonts w:hint="eastAsia" w:ascii="仿宋" w:hAnsi="仿宋" w:eastAsia="仿宋" w:cs="仿宋"/>
          <w:sz w:val="32"/>
          <w:szCs w:val="32"/>
        </w:rPr>
        <w:t>起30日内一次性付清全部成交价款。</w:t>
      </w:r>
    </w:p>
    <w:p>
      <w:pPr>
        <w:pStyle w:val="3"/>
        <w:spacing w:line="560" w:lineRule="exact"/>
        <w:ind w:firstLine="640"/>
        <w:rPr>
          <w:rFonts w:ascii="仿宋" w:hAnsi="仿宋" w:eastAsia="仿宋" w:cs="仿宋"/>
          <w:sz w:val="32"/>
          <w:szCs w:val="32"/>
        </w:rPr>
      </w:pPr>
      <w:r>
        <w:rPr>
          <w:rFonts w:hint="eastAsia" w:ascii="仿宋" w:hAnsi="仿宋" w:eastAsia="仿宋" w:cs="仿宋"/>
          <w:sz w:val="32"/>
          <w:szCs w:val="32"/>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rPr>
        <w:t>十三、违规责任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华文仿宋"/>
          <w:sz w:val="32"/>
          <w:szCs w:val="32"/>
        </w:rPr>
      </w:pPr>
      <w:r>
        <w:rPr>
          <w:rFonts w:hint="eastAsia" w:ascii="仿宋" w:hAnsi="仿宋" w:eastAsia="仿宋" w:cs="华文仿宋"/>
          <w:sz w:val="32"/>
          <w:szCs w:val="32"/>
        </w:rPr>
        <w:t>成交候选人（或竞得人）有下列行为之一的，取消候选人资格（或竞得资格），竞价结果无效，竞买保证金不予退还,造成损失的，成交候选人（或竞得人）还应依法承担赔偿责任：</w:t>
      </w:r>
    </w:p>
    <w:p>
      <w:pPr>
        <w:pStyle w:val="7"/>
        <w:widowControl/>
        <w:ind w:firstLine="645"/>
        <w:rPr>
          <w:rFonts w:ascii="仿宋" w:hAnsi="仿宋" w:eastAsia="仿宋" w:cs="华文仿宋"/>
          <w:kern w:val="2"/>
          <w:sz w:val="32"/>
          <w:szCs w:val="32"/>
        </w:rPr>
      </w:pPr>
      <w:r>
        <w:rPr>
          <w:rFonts w:hint="eastAsia" w:ascii="仿宋" w:hAnsi="仿宋" w:eastAsia="仿宋" w:cs="华文仿宋"/>
          <w:kern w:val="2"/>
          <w:sz w:val="32"/>
          <w:szCs w:val="32"/>
        </w:rPr>
        <w:t>（一）不符合竞买资格条件的；</w:t>
      </w:r>
    </w:p>
    <w:p>
      <w:pPr>
        <w:pStyle w:val="7"/>
        <w:widowControl/>
        <w:ind w:firstLine="645"/>
        <w:rPr>
          <w:rFonts w:ascii="仿宋" w:hAnsi="仿宋" w:eastAsia="仿宋" w:cs="华文仿宋"/>
          <w:kern w:val="2"/>
          <w:sz w:val="32"/>
          <w:szCs w:val="32"/>
        </w:rPr>
      </w:pPr>
      <w:r>
        <w:rPr>
          <w:rFonts w:hint="eastAsia" w:ascii="仿宋" w:hAnsi="仿宋" w:eastAsia="仿宋" w:cs="华文仿宋"/>
          <w:kern w:val="2"/>
          <w:sz w:val="32"/>
          <w:szCs w:val="32"/>
        </w:rPr>
        <w:t>（二）采取行贿、恶意串通等非法手段竞得的；</w:t>
      </w:r>
    </w:p>
    <w:p>
      <w:pPr>
        <w:pStyle w:val="7"/>
        <w:widowControl/>
        <w:ind w:firstLine="645"/>
        <w:rPr>
          <w:rFonts w:ascii="仿宋" w:hAnsi="仿宋" w:eastAsia="仿宋" w:cs="华文仿宋"/>
          <w:kern w:val="2"/>
          <w:sz w:val="32"/>
          <w:szCs w:val="32"/>
        </w:rPr>
      </w:pPr>
      <w:r>
        <w:rPr>
          <w:rFonts w:hint="eastAsia" w:ascii="仿宋" w:hAnsi="仿宋" w:eastAsia="仿宋" w:cs="华文仿宋"/>
          <w:kern w:val="2"/>
          <w:sz w:val="32"/>
          <w:szCs w:val="32"/>
        </w:rPr>
        <w:t>（三）竞得人以其他非法手段竞得的；</w:t>
      </w:r>
    </w:p>
    <w:p>
      <w:pPr>
        <w:pStyle w:val="7"/>
        <w:widowControl/>
        <w:ind w:firstLine="645"/>
        <w:rPr>
          <w:rFonts w:ascii="仿宋" w:hAnsi="仿宋" w:eastAsia="仿宋" w:cs="华文仿宋"/>
          <w:kern w:val="2"/>
          <w:sz w:val="32"/>
          <w:szCs w:val="32"/>
        </w:rPr>
      </w:pPr>
      <w:r>
        <w:rPr>
          <w:rFonts w:hint="eastAsia" w:ascii="仿宋" w:hAnsi="仿宋" w:eastAsia="仿宋" w:cs="华文仿宋"/>
          <w:kern w:val="2"/>
          <w:sz w:val="32"/>
          <w:szCs w:val="32"/>
        </w:rPr>
        <w:t>（四）竞得人逾期或拒绝签订《成交确认书》的；</w:t>
      </w:r>
    </w:p>
    <w:p>
      <w:pPr>
        <w:pStyle w:val="7"/>
        <w:widowControl/>
        <w:ind w:firstLine="645"/>
        <w:rPr>
          <w:rFonts w:ascii="仿宋" w:hAnsi="仿宋" w:eastAsia="仿宋" w:cs="华文仿宋"/>
          <w:kern w:val="2"/>
          <w:sz w:val="32"/>
          <w:szCs w:val="32"/>
        </w:rPr>
      </w:pPr>
      <w:r>
        <w:rPr>
          <w:rFonts w:hint="eastAsia" w:ascii="仿宋" w:hAnsi="仿宋" w:eastAsia="仿宋" w:cs="华文仿宋"/>
          <w:kern w:val="2"/>
          <w:sz w:val="32"/>
          <w:szCs w:val="32"/>
        </w:rPr>
        <w:t>（五）竞得人逾期或拒绝签订《国有建设用地使用权出让合同》的；</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（六）不按本须知规定提供有关纸质文件材料，或提供虚假文件材料、隐瞒重要事实，引起交易纠纷的；</w:t>
      </w:r>
    </w:p>
    <w:p>
      <w:pPr>
        <w:pStyle w:val="7"/>
        <w:widowControl/>
        <w:ind w:firstLine="645"/>
        <w:rPr>
          <w:rFonts w:ascii="仿宋" w:hAnsi="仿宋" w:eastAsia="仿宋" w:cs="仿宋"/>
          <w:kern w:val="2"/>
          <w:sz w:val="32"/>
          <w:szCs w:val="32"/>
        </w:rPr>
      </w:pPr>
      <w:r>
        <w:rPr>
          <w:rFonts w:hint="eastAsia" w:ascii="仿宋" w:hAnsi="仿宋" w:eastAsia="仿宋" w:cs="仿宋"/>
          <w:kern w:val="2"/>
          <w:sz w:val="32"/>
          <w:szCs w:val="32"/>
        </w:rPr>
        <w:t>（七）构成违约责任的其他行为。</w:t>
      </w:r>
    </w:p>
    <w:p>
      <w:pPr>
        <w:pStyle w:val="3"/>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十四、其他需要公告的事项</w:t>
      </w:r>
    </w:p>
    <w:p>
      <w:pPr>
        <w:spacing w:line="56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（一）本宗地网上挂牌出让的详细资料和具体要求，电子交易系统网站(https://tdky.hzggzyjy.cn/)查询。申请人可在电子交易系统下载挂牌出让公告、须知及相关交易文件。</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（二）有意竞买者可以自行到地块现场踏勘（可在网上挂牌交易系统查阅位置图和现状图）。</w:t>
      </w:r>
    </w:p>
    <w:p>
      <w:pPr>
        <w:pStyle w:val="3"/>
        <w:spacing w:line="560" w:lineRule="exact"/>
        <w:ind w:firstLine="640"/>
        <w:rPr>
          <w:rFonts w:ascii="仿宋" w:hAnsi="仿宋" w:eastAsia="仿宋" w:cs="华文仿宋"/>
          <w:sz w:val="32"/>
          <w:szCs w:val="32"/>
        </w:rPr>
      </w:pPr>
      <w:r>
        <w:rPr>
          <w:rFonts w:hint="eastAsia" w:ascii="仿宋" w:hAnsi="仿宋" w:eastAsia="仿宋" w:cs="华文仿宋"/>
          <w:sz w:val="32"/>
          <w:szCs w:val="32"/>
        </w:rPr>
        <w:t>（三）竞买申请一经受理确认后，即视为竞买人对网上挂牌出让公告、须知、相关交易文件及地块现状无异议并全部接受，并对有关承诺承担法律责任。</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（四）地块动工竣工时间</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华文仿宋"/>
          <w:sz w:val="32"/>
          <w:szCs w:val="32"/>
          <w:lang w:val="en-GB"/>
        </w:rPr>
      </w:pPr>
      <w:r>
        <w:rPr>
          <w:rFonts w:hint="eastAsia" w:ascii="仿宋" w:hAnsi="仿宋" w:eastAsia="仿宋" w:cs="华文仿宋"/>
          <w:sz w:val="32"/>
          <w:szCs w:val="32"/>
          <w:lang w:val="en-GB"/>
        </w:rPr>
        <w:t>该用地按现状条件出让，按现状使用。</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（五）土地开发及使用规定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GB"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kern w:val="2"/>
          <w:sz w:val="32"/>
          <w:szCs w:val="32"/>
          <w:lang w:val="en-GB" w:eastAsia="zh-CN" w:bidi="ar-SA"/>
        </w:rPr>
        <w:t>、竞得人在用地红线内开发建设必须符合城市规划要求，必须按《关于澳头渔人码头食街地段2028平方米用地情况说明》规划控制指标要求及有关规定进行规划设计。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2、交付条件</w:t>
      </w:r>
      <w:r>
        <w:rPr>
          <w:rFonts w:hint="eastAsia" w:ascii="仿宋" w:hAnsi="仿宋" w:eastAsia="仿宋" w:cs="仿宋"/>
          <w:kern w:val="2"/>
          <w:sz w:val="32"/>
          <w:szCs w:val="32"/>
          <w:lang w:val="en-GB" w:eastAsia="zh-CN" w:bidi="ar-SA"/>
        </w:rPr>
        <w:t>和时间：该宗地按“净地”条件（土地平整，具备施工需求的条件，包括给水、排水、通电、通路、通讯、红线外已铺设接驳市政排污设施的排污管道，</w:t>
      </w:r>
      <w:r>
        <w:rPr>
          <w:rFonts w:hint="eastAsia" w:ascii="仿宋" w:hAnsi="仿宋" w:eastAsia="仿宋" w:cs="仿宋"/>
          <w:kern w:val="2"/>
          <w:sz w:val="32"/>
          <w:szCs w:val="32"/>
          <w:lang w:val="en-US" w:eastAsia="zh-CN" w:bidi="ar-SA"/>
        </w:rPr>
        <w:t>地上建有1、2号食街建筑，地上建构筑物按现状移交</w:t>
      </w:r>
      <w:r>
        <w:rPr>
          <w:rFonts w:hint="eastAsia" w:ascii="仿宋" w:hAnsi="仿宋" w:eastAsia="仿宋" w:cs="仿宋"/>
          <w:kern w:val="2"/>
          <w:sz w:val="32"/>
          <w:szCs w:val="32"/>
          <w:lang w:val="en-GB" w:eastAsia="zh-CN" w:bidi="ar-SA"/>
        </w:rPr>
        <w:t>）网上挂牌出让并交付土地</w:t>
      </w:r>
      <w:r>
        <w:rPr>
          <w:rFonts w:hint="eastAsia" w:ascii="仿宋" w:hAnsi="仿宋" w:eastAsia="仿宋" w:cs="仿宋"/>
          <w:kern w:val="2"/>
          <w:sz w:val="32"/>
          <w:szCs w:val="32"/>
          <w:lang w:val="en-US" w:eastAsia="zh-CN" w:bidi="ar-SA"/>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（六）该宗地交易全程适用《惠州市政务服务数据管理局惠州市公共资源交易中心公共资源电子交易规则》（惠市政数〔2022〕3号）。</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GB" w:eastAsia="zh-CN" w:bidi="ar-SA"/>
        </w:rPr>
      </w:pPr>
      <w:r>
        <w:rPr>
          <w:rFonts w:hint="eastAsia" w:ascii="仿宋" w:hAnsi="仿宋" w:eastAsia="仿宋" w:cs="仿宋"/>
          <w:kern w:val="2"/>
          <w:sz w:val="32"/>
          <w:szCs w:val="32"/>
          <w:lang w:val="en-GB" w:eastAsia="zh-CN" w:bidi="ar-SA"/>
        </w:rPr>
        <w:t>（七）挂牌出让价款不含应由竞得人缴纳的契税、印花税等有关费用，竞得人除缴交成交地价款外，还需按规定缴交契税等有关税费。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GB" w:eastAsia="zh-CN" w:bidi="ar-SA"/>
        </w:rPr>
      </w:pPr>
      <w:r>
        <w:rPr>
          <w:rFonts w:hint="eastAsia" w:ascii="仿宋" w:hAnsi="仿宋" w:eastAsia="仿宋" w:cs="仿宋"/>
          <w:kern w:val="2"/>
          <w:sz w:val="32"/>
          <w:szCs w:val="32"/>
          <w:lang w:val="en-GB" w:eastAsia="zh-CN" w:bidi="ar-SA"/>
        </w:rPr>
        <w:t>（</w:t>
      </w:r>
      <w:r>
        <w:rPr>
          <w:rFonts w:hint="eastAsia" w:ascii="仿宋" w:hAnsi="仿宋" w:eastAsia="仿宋" w:cs="仿宋"/>
          <w:kern w:val="2"/>
          <w:sz w:val="32"/>
          <w:szCs w:val="32"/>
          <w:lang w:val="en-US" w:eastAsia="zh-CN" w:bidi="ar-SA"/>
        </w:rPr>
        <w:t>八</w:t>
      </w:r>
      <w:r>
        <w:rPr>
          <w:rFonts w:hint="eastAsia" w:ascii="仿宋" w:hAnsi="仿宋" w:eastAsia="仿宋" w:cs="仿宋"/>
          <w:kern w:val="2"/>
          <w:sz w:val="32"/>
          <w:szCs w:val="32"/>
          <w:lang w:val="en-GB" w:eastAsia="zh-CN" w:bidi="ar-SA"/>
        </w:rPr>
        <w:t>）项目用地位于海岸线向陆一侧的禁建区范围，禁建区内的合法建筑物、构筑物予以现状保留，不得新建和改、扩建。</w:t>
      </w:r>
    </w:p>
    <w:p>
      <w:pPr>
        <w:pStyle w:val="7"/>
        <w:widowControl/>
        <w:ind w:firstLine="555"/>
        <w:rPr>
          <w:rFonts w:ascii="仿宋" w:hAnsi="仿宋" w:eastAsia="仿宋"/>
          <w:b/>
          <w:bCs/>
          <w:kern w:val="2"/>
          <w:sz w:val="32"/>
          <w:szCs w:val="32"/>
        </w:rPr>
      </w:pPr>
      <w:r>
        <w:rPr>
          <w:rFonts w:hint="eastAsia" w:ascii="仿宋" w:hAnsi="仿宋" w:eastAsia="仿宋"/>
          <w:b/>
          <w:bCs/>
          <w:kern w:val="2"/>
          <w:sz w:val="32"/>
          <w:szCs w:val="32"/>
        </w:rPr>
        <w:t>十五、联系方式：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出让方：惠州市自然资源局大亚湾经济技术开发区分局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联系地址：惠州市大亚湾区北澳大道2号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联系人：肖</w:t>
      </w:r>
      <w:r>
        <w:rPr>
          <w:rFonts w:hint="eastAsia" w:ascii="仿宋" w:hAnsi="仿宋" w:eastAsia="仿宋" w:cs="仿宋"/>
          <w:color w:val="auto"/>
          <w:kern w:val="0"/>
          <w:sz w:val="32"/>
          <w:szCs w:val="32"/>
          <w:lang w:val="en-US" w:eastAsia="zh-CN"/>
        </w:rPr>
        <w:t>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联系电话：0752-5577823</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r>
        <w:rPr>
          <w:rFonts w:hint="eastAsia" w:ascii="仿宋" w:hAnsi="仿宋" w:eastAsia="仿宋" w:cs="仿宋"/>
          <w:color w:val="auto"/>
          <w:sz w:val="32"/>
          <w:szCs w:val="32"/>
        </w:rPr>
        <w:t>交易机构：惠州市公共资源交易中心大亚湾分中心</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r>
        <w:rPr>
          <w:rFonts w:hint="eastAsia" w:ascii="仿宋" w:hAnsi="仿宋" w:eastAsia="仿宋" w:cs="仿宋"/>
          <w:color w:val="auto"/>
          <w:sz w:val="32"/>
          <w:szCs w:val="32"/>
        </w:rPr>
        <w:t>联系地址：惠州市大亚湾区科技创新园创新大厦三楼</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联系人：李</w:t>
      </w:r>
      <w:r>
        <w:rPr>
          <w:rFonts w:hint="eastAsia" w:ascii="仿宋" w:hAnsi="仿宋" w:eastAsia="仿宋" w:cs="仿宋"/>
          <w:color w:val="auto"/>
          <w:sz w:val="32"/>
          <w:szCs w:val="32"/>
          <w:lang w:val="en-US" w:eastAsia="zh-CN"/>
        </w:rPr>
        <w:t>工</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叶工</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r>
        <w:rPr>
          <w:rFonts w:hint="eastAsia" w:ascii="仿宋" w:hAnsi="仿宋" w:eastAsia="仿宋" w:cs="仿宋"/>
          <w:color w:val="auto"/>
          <w:sz w:val="32"/>
          <w:szCs w:val="32"/>
        </w:rPr>
        <w:t>联系电话：0752-5190887</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color w:val="auto"/>
          <w:sz w:val="32"/>
          <w:szCs w:val="32"/>
        </w:rPr>
      </w:pPr>
      <w:r>
        <w:rPr>
          <w:rFonts w:hint="eastAsia" w:ascii="仿宋" w:hAnsi="仿宋" w:eastAsia="仿宋" w:cs="仿宋"/>
          <w:color w:val="auto"/>
          <w:sz w:val="32"/>
          <w:szCs w:val="32"/>
        </w:rPr>
        <w:t>注：本公告同时在下列网站及场所发布</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1、中国土地市场网；</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2、广东省公共资源交易平台；</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、惠州市公共资源交易中</w:t>
      </w:r>
      <w:r>
        <w:rPr>
          <w:rFonts w:hint="eastAsia" w:ascii="仿宋" w:hAnsi="仿宋" w:eastAsia="仿宋" w:cs="仿宋"/>
          <w:sz w:val="32"/>
          <w:szCs w:val="32"/>
        </w:rPr>
        <w:t>心大亚湾分中心交易大厅的电子显示屏；</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sz w:val="32"/>
          <w:szCs w:val="32"/>
        </w:rPr>
      </w:pPr>
      <w:r>
        <w:rPr>
          <w:rFonts w:hint="eastAsia" w:ascii="仿宋" w:hAnsi="仿宋" w:eastAsia="仿宋" w:cs="仿宋"/>
          <w:sz w:val="32"/>
          <w:szCs w:val="32"/>
        </w:rPr>
        <w:t>数字证书办理地址：广东省惠州市惠城区三新北路31号市民服务中心3号楼惠州市公共资源交易中心一楼大厅1号土地与矿业交易窗口。</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sz w:val="32"/>
          <w:szCs w:val="32"/>
        </w:rPr>
      </w:pPr>
      <w:r>
        <w:rPr>
          <w:rFonts w:hint="eastAsia" w:ascii="仿宋" w:hAnsi="仿宋" w:eastAsia="仿宋" w:cs="仿宋"/>
          <w:sz w:val="32"/>
          <w:szCs w:val="32"/>
        </w:rPr>
        <w:t>联系人：罗工</w:t>
      </w:r>
    </w:p>
    <w:p>
      <w:pPr>
        <w:pStyle w:val="7"/>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 w:hAnsi="仿宋" w:eastAsia="仿宋" w:cs="仿宋"/>
          <w:sz w:val="32"/>
          <w:szCs w:val="32"/>
        </w:rPr>
      </w:pPr>
      <w:r>
        <w:rPr>
          <w:rFonts w:hint="eastAsia" w:ascii="仿宋" w:hAnsi="仿宋" w:eastAsia="仿宋" w:cs="仿宋"/>
          <w:sz w:val="32"/>
          <w:szCs w:val="32"/>
        </w:rPr>
        <w:t>联系电话：0752-7121029</w:t>
      </w:r>
    </w:p>
    <w:p>
      <w:pPr>
        <w:pStyle w:val="7"/>
        <w:widowControl/>
        <w:ind w:firstLine="645"/>
        <w:rPr>
          <w:rFonts w:ascii="仿宋" w:hAnsi="仿宋" w:eastAsia="仿宋" w:cs="仿宋"/>
          <w:sz w:val="32"/>
          <w:szCs w:val="32"/>
        </w:rPr>
      </w:pPr>
    </w:p>
    <w:p>
      <w:pPr>
        <w:pStyle w:val="7"/>
        <w:widowControl/>
        <w:ind w:firstLine="645"/>
        <w:rPr>
          <w:rFonts w:ascii="仿宋" w:hAnsi="仿宋" w:eastAsia="仿宋" w:cs="仿宋"/>
          <w:sz w:val="32"/>
          <w:szCs w:val="32"/>
        </w:rPr>
      </w:pPr>
    </w:p>
    <w:p>
      <w:pPr>
        <w:pStyle w:val="7"/>
        <w:widowControl/>
        <w:ind w:left="4137" w:leftChars="608" w:hanging="2860" w:hangingChars="894"/>
        <w:rPr>
          <w:rFonts w:hint="default" w:ascii="仿宋" w:hAnsi="仿宋" w:eastAsia="仿宋" w:cs="仿宋"/>
          <w:sz w:val="32"/>
          <w:szCs w:val="32"/>
          <w:lang w:val="en-US"/>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惠</w:t>
      </w:r>
      <w:r>
        <w:rPr>
          <w:rFonts w:hint="eastAsia" w:ascii="仿宋" w:hAnsi="仿宋" w:eastAsia="仿宋" w:cs="仿宋"/>
          <w:sz w:val="32"/>
          <w:szCs w:val="32"/>
        </w:rPr>
        <w:t>州市自资源局大亚湾经济技术开发区分局             2024年</w:t>
      </w:r>
      <w:r>
        <w:rPr>
          <w:rFonts w:hint="eastAsia" w:ascii="仿宋" w:hAnsi="仿宋" w:eastAsia="仿宋" w:cs="仿宋"/>
          <w:sz w:val="32"/>
          <w:szCs w:val="32"/>
          <w:lang w:val="en-US" w:eastAsia="zh-CN"/>
        </w:rPr>
        <w:t>9月14日</w:t>
      </w:r>
    </w:p>
    <w:p>
      <w:pPr>
        <w:spacing w:line="560" w:lineRule="exact"/>
        <w:ind w:left="4160" w:hanging="4160" w:hangingChars="1300"/>
        <w:jc w:val="left"/>
        <w:rPr>
          <w:rFonts w:ascii="仿宋" w:hAnsi="仿宋" w:eastAsia="仿宋" w:cs="华文仿宋"/>
          <w:sz w:val="32"/>
          <w:szCs w:val="32"/>
        </w:rPr>
      </w:pPr>
    </w:p>
    <w:p>
      <w:pPr>
        <w:pStyle w:val="3"/>
        <w:ind w:firstLine="640"/>
        <w:rPr>
          <w:rFonts w:ascii="仿宋" w:hAnsi="仿宋" w:eastAsia="仿宋" w:cs="华文仿宋"/>
          <w:sz w:val="32"/>
          <w:szCs w:val="32"/>
        </w:rPr>
      </w:pPr>
    </w:p>
    <w:p>
      <w:pPr>
        <w:pStyle w:val="3"/>
        <w:ind w:firstLine="640"/>
        <w:rPr>
          <w:rFonts w:ascii="仿宋" w:hAnsi="仿宋" w:eastAsia="仿宋" w:cs="华文仿宋"/>
          <w:sz w:val="32"/>
          <w:szCs w:val="32"/>
        </w:rPr>
      </w:pPr>
    </w:p>
    <w:p>
      <w:pPr>
        <w:pStyle w:val="3"/>
        <w:ind w:firstLine="640"/>
        <w:rPr>
          <w:rFonts w:ascii="仿宋" w:hAnsi="仿宋" w:eastAsia="仿宋" w:cs="华文仿宋"/>
          <w:sz w:val="32"/>
          <w:szCs w:val="32"/>
        </w:rPr>
      </w:pPr>
    </w:p>
    <w:p>
      <w:pPr>
        <w:pStyle w:val="3"/>
        <w:ind w:firstLine="0" w:firstLineChars="0"/>
        <w:rPr>
          <w:rFonts w:ascii="仿宋" w:hAnsi="仿宋" w:eastAsia="仿宋" w:cs="华文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pStyle w:val="3"/>
        <w:ind w:firstLine="0" w:firstLineChars="0"/>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ascii="仿宋" w:hAnsi="仿宋" w:eastAsia="仿宋"/>
          <w:sz w:val="32"/>
          <w:szCs w:val="32"/>
        </w:rPr>
      </w:pPr>
      <w:r>
        <w:rPr>
          <w:rFonts w:hint="eastAsia" w:ascii="仿宋" w:hAnsi="仿宋" w:eastAsia="仿宋"/>
          <w:sz w:val="32"/>
          <w:szCs w:val="32"/>
        </w:rPr>
        <w:t>附表：</w:t>
      </w:r>
    </w:p>
    <w:p>
      <w:pPr>
        <w:tabs>
          <w:tab w:val="left" w:pos="9720"/>
        </w:tabs>
        <w:spacing w:line="360" w:lineRule="auto"/>
        <w:jc w:val="center"/>
        <w:rPr>
          <w:rFonts w:ascii="仿宋_GB2312" w:hAnsi="宋体" w:eastAsia="仿宋_GB2312"/>
          <w:b/>
          <w:bCs/>
          <w:sz w:val="32"/>
          <w:szCs w:val="32"/>
        </w:rPr>
      </w:pPr>
      <w:r>
        <w:rPr>
          <w:rFonts w:hint="eastAsia" w:ascii="仿宋_GB2312" w:hAnsi="宋体" w:eastAsia="仿宋_GB2312"/>
          <w:b/>
          <w:bCs/>
          <w:sz w:val="32"/>
          <w:szCs w:val="32"/>
        </w:rPr>
        <w:t>网上挂牌出让地块基本情况及规划建设指标</w:t>
      </w:r>
    </w:p>
    <w:p>
      <w:pPr>
        <w:pStyle w:val="3"/>
      </w:pPr>
    </w:p>
    <w:tbl>
      <w:tblPr>
        <w:tblStyle w:val="8"/>
        <w:tblpPr w:leftFromText="180" w:rightFromText="180" w:vertAnchor="text" w:tblpXSpec="center" w:tblpY="1"/>
        <w:tblOverlap w:val="never"/>
        <w:tblW w:w="13801" w:type="dxa"/>
        <w:tblInd w:w="-1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400"/>
        <w:gridCol w:w="1990"/>
        <w:gridCol w:w="1265"/>
        <w:gridCol w:w="2700"/>
        <w:gridCol w:w="2417"/>
        <w:gridCol w:w="1216"/>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6" w:type="dxa"/>
            <w:vMerge w:val="restart"/>
            <w:noWrap/>
            <w:vAlign w:val="center"/>
          </w:tcPr>
          <w:p>
            <w:pPr>
              <w:spacing w:line="32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土地位置</w:t>
            </w:r>
          </w:p>
        </w:tc>
        <w:tc>
          <w:tcPr>
            <w:tcW w:w="1400" w:type="dxa"/>
            <w:vMerge w:val="restart"/>
            <w:vAlign w:val="center"/>
          </w:tcPr>
          <w:p>
            <w:pPr>
              <w:spacing w:line="320" w:lineRule="exact"/>
              <w:jc w:val="center"/>
              <w:rPr>
                <w:rFonts w:hint="eastAsia" w:ascii="仿宋_GB2312" w:hAnsi="宋体" w:eastAsia="仿宋_GB2312"/>
                <w:b/>
                <w:bCs/>
                <w:sz w:val="24"/>
                <w:highlight w:val="none"/>
              </w:rPr>
            </w:pPr>
            <w:r>
              <w:rPr>
                <w:rFonts w:hint="eastAsia" w:ascii="仿宋_GB2312" w:hAnsi="宋体" w:eastAsia="仿宋_GB2312"/>
                <w:b/>
                <w:bCs/>
                <w:sz w:val="24"/>
                <w:highlight w:val="none"/>
              </w:rPr>
              <w:t>挂牌编号</w:t>
            </w:r>
          </w:p>
        </w:tc>
        <w:tc>
          <w:tcPr>
            <w:tcW w:w="1990" w:type="dxa"/>
            <w:vMerge w:val="restart"/>
            <w:noWrap/>
            <w:vAlign w:val="center"/>
          </w:tcPr>
          <w:p>
            <w:pPr>
              <w:adjustRightInd w:val="0"/>
              <w:snapToGrid w:val="0"/>
              <w:spacing w:line="32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用地编号</w:t>
            </w:r>
          </w:p>
        </w:tc>
        <w:tc>
          <w:tcPr>
            <w:tcW w:w="1265" w:type="dxa"/>
            <w:vMerge w:val="restart"/>
            <w:noWrap/>
            <w:vAlign w:val="center"/>
          </w:tcPr>
          <w:p>
            <w:pPr>
              <w:adjustRightInd w:val="0"/>
              <w:snapToGrid w:val="0"/>
              <w:spacing w:line="32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土地用途</w:t>
            </w:r>
          </w:p>
        </w:tc>
        <w:tc>
          <w:tcPr>
            <w:tcW w:w="7720" w:type="dxa"/>
            <w:gridSpan w:val="4"/>
            <w:noWrap/>
            <w:vAlign w:val="center"/>
          </w:tcPr>
          <w:p>
            <w:pPr>
              <w:autoSpaceDE w:val="0"/>
              <w:autoSpaceDN w:val="0"/>
              <w:adjustRightInd w:val="0"/>
              <w:spacing w:line="24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规划指标要求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26" w:type="dxa"/>
            <w:vMerge w:val="continue"/>
            <w:noWrap/>
            <w:vAlign w:val="center"/>
          </w:tcPr>
          <w:p>
            <w:pPr>
              <w:adjustRightInd w:val="0"/>
              <w:snapToGrid w:val="0"/>
              <w:spacing w:line="320" w:lineRule="exact"/>
              <w:jc w:val="center"/>
              <w:rPr>
                <w:rFonts w:ascii="仿宋_GB2312" w:hAnsi="宋体" w:eastAsia="仿宋_GB2312"/>
                <w:b/>
                <w:bCs/>
                <w:sz w:val="24"/>
                <w:highlight w:val="none"/>
              </w:rPr>
            </w:pPr>
          </w:p>
        </w:tc>
        <w:tc>
          <w:tcPr>
            <w:tcW w:w="1400" w:type="dxa"/>
            <w:vMerge w:val="continue"/>
          </w:tcPr>
          <w:p>
            <w:pPr>
              <w:adjustRightInd w:val="0"/>
              <w:snapToGrid w:val="0"/>
              <w:spacing w:line="320" w:lineRule="exact"/>
              <w:jc w:val="center"/>
              <w:rPr>
                <w:rFonts w:ascii="仿宋_GB2312" w:hAnsi="宋体" w:eastAsia="仿宋_GB2312"/>
                <w:b/>
                <w:bCs/>
                <w:sz w:val="24"/>
                <w:highlight w:val="none"/>
              </w:rPr>
            </w:pPr>
          </w:p>
        </w:tc>
        <w:tc>
          <w:tcPr>
            <w:tcW w:w="1990" w:type="dxa"/>
            <w:vMerge w:val="continue"/>
            <w:noWrap/>
            <w:vAlign w:val="center"/>
          </w:tcPr>
          <w:p>
            <w:pPr>
              <w:adjustRightInd w:val="0"/>
              <w:snapToGrid w:val="0"/>
              <w:spacing w:line="320" w:lineRule="exact"/>
              <w:jc w:val="center"/>
              <w:rPr>
                <w:rFonts w:ascii="仿宋_GB2312" w:hAnsi="宋体" w:eastAsia="仿宋_GB2312"/>
                <w:b/>
                <w:bCs/>
                <w:sz w:val="24"/>
                <w:highlight w:val="none"/>
              </w:rPr>
            </w:pPr>
          </w:p>
        </w:tc>
        <w:tc>
          <w:tcPr>
            <w:tcW w:w="1265" w:type="dxa"/>
            <w:vMerge w:val="continue"/>
            <w:noWrap/>
            <w:vAlign w:val="center"/>
          </w:tcPr>
          <w:p>
            <w:pPr>
              <w:adjustRightInd w:val="0"/>
              <w:snapToGrid w:val="0"/>
              <w:spacing w:line="320" w:lineRule="exact"/>
              <w:jc w:val="center"/>
              <w:rPr>
                <w:rFonts w:ascii="仿宋_GB2312" w:hAnsi="宋体" w:eastAsia="仿宋_GB2312"/>
                <w:b/>
                <w:bCs/>
                <w:sz w:val="24"/>
                <w:highlight w:val="none"/>
              </w:rPr>
            </w:pPr>
          </w:p>
        </w:tc>
        <w:tc>
          <w:tcPr>
            <w:tcW w:w="2700" w:type="dxa"/>
            <w:noWrap/>
            <w:vAlign w:val="center"/>
          </w:tcPr>
          <w:p>
            <w:pPr>
              <w:spacing w:line="32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计算指标用地面积（㎡）</w:t>
            </w:r>
          </w:p>
        </w:tc>
        <w:tc>
          <w:tcPr>
            <w:tcW w:w="2417" w:type="dxa"/>
            <w:noWrap/>
            <w:vAlign w:val="center"/>
          </w:tcPr>
          <w:p>
            <w:pPr>
              <w:autoSpaceDE w:val="0"/>
              <w:autoSpaceDN w:val="0"/>
              <w:adjustRightInd w:val="0"/>
              <w:spacing w:line="24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宗地使用权面积（㎡）</w:t>
            </w:r>
          </w:p>
        </w:tc>
        <w:tc>
          <w:tcPr>
            <w:tcW w:w="1216" w:type="dxa"/>
            <w:noWrap/>
            <w:vAlign w:val="center"/>
          </w:tcPr>
          <w:p>
            <w:pPr>
              <w:autoSpaceDE w:val="0"/>
              <w:autoSpaceDN w:val="0"/>
              <w:adjustRightInd w:val="0"/>
              <w:spacing w:line="24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容积率</w:t>
            </w:r>
          </w:p>
        </w:tc>
        <w:tc>
          <w:tcPr>
            <w:tcW w:w="1387" w:type="dxa"/>
            <w:noWrap/>
            <w:vAlign w:val="center"/>
          </w:tcPr>
          <w:p>
            <w:pPr>
              <w:autoSpaceDE w:val="0"/>
              <w:autoSpaceDN w:val="0"/>
              <w:adjustRightInd w:val="0"/>
              <w:spacing w:line="240" w:lineRule="exact"/>
              <w:jc w:val="center"/>
              <w:rPr>
                <w:rFonts w:ascii="仿宋_GB2312" w:hAnsi="宋体" w:eastAsia="仿宋_GB2312"/>
                <w:b/>
                <w:bCs/>
                <w:sz w:val="24"/>
                <w:highlight w:val="none"/>
              </w:rPr>
            </w:pPr>
            <w:r>
              <w:rPr>
                <w:rFonts w:hint="eastAsia" w:ascii="仿宋_GB2312" w:hAnsi="宋体" w:eastAsia="仿宋_GB2312"/>
                <w:b/>
                <w:bCs/>
                <w:sz w:val="24"/>
                <w:highlight w:val="none"/>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426" w:type="dxa"/>
            <w:noWrap/>
            <w:vAlign w:val="center"/>
          </w:tcPr>
          <w:p>
            <w:pPr>
              <w:spacing w:line="300" w:lineRule="exact"/>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大亚湾</w:t>
            </w:r>
            <w:r>
              <w:rPr>
                <w:rFonts w:hint="eastAsia" w:ascii="仿宋_GB2312" w:hAnsi="仿宋_GB2312" w:eastAsia="仿宋_GB2312" w:cs="仿宋_GB2312"/>
                <w:sz w:val="21"/>
                <w:szCs w:val="21"/>
                <w:highlight w:val="none"/>
                <w:lang w:val="en-US" w:eastAsia="zh-CN"/>
              </w:rPr>
              <w:t>澳头渔人码头食街地段</w:t>
            </w:r>
          </w:p>
        </w:tc>
        <w:tc>
          <w:tcPr>
            <w:tcW w:w="1400" w:type="dxa"/>
            <w:vAlign w:val="center"/>
          </w:tcPr>
          <w:p>
            <w:pPr>
              <w:spacing w:line="300" w:lineRule="exact"/>
              <w:jc w:val="center"/>
              <w:rPr>
                <w:rFonts w:hint="default" w:ascii="仿宋_GB2312" w:hAnsi="仿宋_GB2312" w:eastAsia="仿宋_GB2312" w:cs="仿宋_GB2312"/>
                <w:sz w:val="21"/>
                <w:szCs w:val="21"/>
                <w:highlight w:val="none"/>
                <w:lang w:val="en-US"/>
              </w:rPr>
            </w:pPr>
            <w:r>
              <w:rPr>
                <w:rFonts w:ascii="仿宋_GB2312" w:hAnsi="仿宋_GB2312" w:eastAsia="仿宋_GB2312" w:cs="仿宋_GB2312"/>
                <w:sz w:val="21"/>
                <w:szCs w:val="21"/>
                <w:highlight w:val="none"/>
              </w:rPr>
              <w:t>DYW20240</w:t>
            </w:r>
            <w:r>
              <w:rPr>
                <w:rFonts w:hint="eastAsia" w:ascii="仿宋_GB2312" w:hAnsi="仿宋_GB2312" w:eastAsia="仿宋_GB2312" w:cs="仿宋_GB2312"/>
                <w:sz w:val="21"/>
                <w:szCs w:val="21"/>
                <w:highlight w:val="none"/>
                <w:lang w:val="en-US" w:eastAsia="zh-CN"/>
              </w:rPr>
              <w:t>18</w:t>
            </w:r>
          </w:p>
        </w:tc>
        <w:tc>
          <w:tcPr>
            <w:tcW w:w="1990" w:type="dxa"/>
            <w:noWrap/>
            <w:vAlign w:val="center"/>
          </w:tcPr>
          <w:p>
            <w:pPr>
              <w:spacing w:line="30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ZXZ-06-02-19-01、</w:t>
            </w:r>
          </w:p>
          <w:p>
            <w:pPr>
              <w:spacing w:line="300" w:lineRule="exact"/>
              <w:jc w:val="center"/>
              <w:rPr>
                <w:rFonts w:hint="default"/>
                <w:lang w:val="en-US" w:eastAsia="zh-CN"/>
              </w:rPr>
            </w:pPr>
            <w:r>
              <w:rPr>
                <w:rFonts w:hint="eastAsia" w:ascii="仿宋_GB2312" w:hAnsi="仿宋_GB2312" w:eastAsia="仿宋_GB2312" w:cs="仿宋_GB2312"/>
                <w:sz w:val="21"/>
                <w:szCs w:val="21"/>
                <w:highlight w:val="none"/>
                <w:lang w:val="en-US" w:eastAsia="zh-CN"/>
              </w:rPr>
              <w:t>ZXZ-06-02-19-02</w:t>
            </w:r>
          </w:p>
        </w:tc>
        <w:tc>
          <w:tcPr>
            <w:tcW w:w="1265" w:type="dxa"/>
            <w:noWrap/>
            <w:tcMar>
              <w:left w:w="0" w:type="dxa"/>
              <w:right w:w="0" w:type="dxa"/>
            </w:tcMar>
            <w:vAlign w:val="center"/>
          </w:tcPr>
          <w:p>
            <w:pPr>
              <w:spacing w:line="300" w:lineRule="exac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商业</w:t>
            </w:r>
          </w:p>
          <w:p>
            <w:pPr>
              <w:spacing w:line="30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设施</w:t>
            </w:r>
          </w:p>
          <w:p>
            <w:pPr>
              <w:spacing w:line="30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用地</w:t>
            </w:r>
          </w:p>
        </w:tc>
        <w:tc>
          <w:tcPr>
            <w:tcW w:w="2700" w:type="dxa"/>
            <w:noWrap/>
            <w:vAlign w:val="center"/>
          </w:tcPr>
          <w:p>
            <w:pPr>
              <w:spacing w:line="300" w:lineRule="exact"/>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2028</w:t>
            </w:r>
          </w:p>
        </w:tc>
        <w:tc>
          <w:tcPr>
            <w:tcW w:w="2417" w:type="dxa"/>
            <w:noWrap/>
            <w:vAlign w:val="center"/>
          </w:tcPr>
          <w:p>
            <w:pPr>
              <w:spacing w:line="30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2028</w:t>
            </w:r>
          </w:p>
        </w:tc>
        <w:tc>
          <w:tcPr>
            <w:tcW w:w="1216" w:type="dxa"/>
            <w:noWrap/>
            <w:vAlign w:val="center"/>
          </w:tcPr>
          <w:p>
            <w:pPr>
              <w:spacing w:line="300" w:lineRule="exact"/>
              <w:jc w:val="center"/>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≤2.6</w:t>
            </w:r>
          </w:p>
        </w:tc>
        <w:tc>
          <w:tcPr>
            <w:tcW w:w="1387" w:type="dxa"/>
            <w:noWrap/>
            <w:vAlign w:val="center"/>
          </w:tcPr>
          <w:p>
            <w:pPr>
              <w:spacing w:line="300" w:lineRule="exact"/>
              <w:jc w:val="center"/>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0年</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OWFhNjQ5NTQ1YmQyN2MxZGFjOTBhZWNkMDQzODAifQ=="/>
  </w:docVars>
  <w:rsids>
    <w:rsidRoot w:val="1BC4541B"/>
    <w:rsid w:val="055A5B7B"/>
    <w:rsid w:val="088C3CD7"/>
    <w:rsid w:val="0C316041"/>
    <w:rsid w:val="0FBF6327"/>
    <w:rsid w:val="11FB28E7"/>
    <w:rsid w:val="125E3D65"/>
    <w:rsid w:val="127F03DA"/>
    <w:rsid w:val="14200AE9"/>
    <w:rsid w:val="14D5380C"/>
    <w:rsid w:val="169A1BC3"/>
    <w:rsid w:val="16D300CB"/>
    <w:rsid w:val="19A215AC"/>
    <w:rsid w:val="1B7A13F4"/>
    <w:rsid w:val="1BC4541B"/>
    <w:rsid w:val="1FFC1C51"/>
    <w:rsid w:val="22074708"/>
    <w:rsid w:val="22CB1848"/>
    <w:rsid w:val="24747712"/>
    <w:rsid w:val="24CB401C"/>
    <w:rsid w:val="269652D2"/>
    <w:rsid w:val="27746188"/>
    <w:rsid w:val="2A255348"/>
    <w:rsid w:val="2ADB50B6"/>
    <w:rsid w:val="2C9F6511"/>
    <w:rsid w:val="2E314855"/>
    <w:rsid w:val="2E4E5CFD"/>
    <w:rsid w:val="2FC34C58"/>
    <w:rsid w:val="2FE57FED"/>
    <w:rsid w:val="313D6965"/>
    <w:rsid w:val="32F31DE4"/>
    <w:rsid w:val="33184C1A"/>
    <w:rsid w:val="35DE0212"/>
    <w:rsid w:val="383B0C73"/>
    <w:rsid w:val="38CE2C42"/>
    <w:rsid w:val="3A931FF0"/>
    <w:rsid w:val="3D612E62"/>
    <w:rsid w:val="42343402"/>
    <w:rsid w:val="453B2522"/>
    <w:rsid w:val="476F18CE"/>
    <w:rsid w:val="4AB326DB"/>
    <w:rsid w:val="505706C6"/>
    <w:rsid w:val="507B7804"/>
    <w:rsid w:val="520E5DCD"/>
    <w:rsid w:val="5250063C"/>
    <w:rsid w:val="53301F38"/>
    <w:rsid w:val="542F6A7D"/>
    <w:rsid w:val="5ABD3B63"/>
    <w:rsid w:val="5BD83D4C"/>
    <w:rsid w:val="5C750170"/>
    <w:rsid w:val="5D1162DF"/>
    <w:rsid w:val="5EF66CC9"/>
    <w:rsid w:val="5F6F56EB"/>
    <w:rsid w:val="62A465A2"/>
    <w:rsid w:val="656E20F1"/>
    <w:rsid w:val="674A63B5"/>
    <w:rsid w:val="698B156C"/>
    <w:rsid w:val="6DC67F5C"/>
    <w:rsid w:val="6DF45D4F"/>
    <w:rsid w:val="6FCD4535"/>
    <w:rsid w:val="7469213F"/>
    <w:rsid w:val="7495314A"/>
    <w:rsid w:val="757E2BAF"/>
    <w:rsid w:val="76193738"/>
    <w:rsid w:val="796F4EE9"/>
    <w:rsid w:val="7986452E"/>
    <w:rsid w:val="79C23DD0"/>
    <w:rsid w:val="7F67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rPr>
  </w:style>
  <w:style w:type="paragraph" w:styleId="5">
    <w:name w:val="Block Text"/>
    <w:basedOn w:val="1"/>
    <w:unhideWhenUsed/>
    <w:qFormat/>
    <w:uiPriority w:val="99"/>
    <w:pPr>
      <w:spacing w:line="600" w:lineRule="exact"/>
      <w:ind w:left="-178" w:leftChars="-85" w:right="-334" w:rightChars="-159" w:firstLine="640" w:firstLineChars="200"/>
    </w:pPr>
    <w:rPr>
      <w:rFonts w:ascii="仿宋_GB2312" w:eastAsia="仿宋_GB2312"/>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2024-03-26T16:40:00Z</dcterms:created>
  <dc:creator>星辰</dc:creator>
  <cp:lastModifiedBy>肖鑫贵</cp:lastModifiedBy>
  <dcterms:modified xsi:type="dcterms:W3CDTF">2024-09-13T02:39:37Z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0C8F0565740C42EC8F26A20C2CD9FC1D_11</vt:lpwstr>
  </property>
</Properties>
</file>