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tabs>
          <w:tab w:val="left" w:pos="11340"/>
        </w:tabs>
        <w:spacing w:line="520" w:lineRule="exact"/>
        <w:ind w:left="0" w:leftChars="0" w:firstLine="0" w:firstLineChars="0"/>
        <w:rPr>
          <w:rFonts w:hint="eastAsia" w:ascii="方正小标宋_GBK" w:hAnsi="华文中宋" w:eastAsia="方正小标宋_GBK"/>
          <w:b/>
          <w:bCs/>
          <w:spacing w:val="3"/>
          <w:sz w:val="44"/>
          <w:szCs w:val="44"/>
        </w:rPr>
      </w:pPr>
    </w:p>
    <w:p>
      <w:pPr>
        <w:tabs>
          <w:tab w:val="left" w:pos="11340"/>
        </w:tabs>
        <w:spacing w:line="520" w:lineRule="exact"/>
        <w:ind w:left="0" w:leftChars="0" w:firstLine="0" w:firstLineChars="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18"/>
          <w:szCs w:val="18"/>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cs="仿宋_GB2312"/>
          <w:sz w:val="32"/>
          <w:lang w:val="en-US" w:eastAsia="zh-CN"/>
        </w:rPr>
        <w:t>15</w:t>
      </w:r>
      <w:r>
        <w:rPr>
          <w:rFonts w:hint="eastAsia" w:ascii="仿宋_GB2312" w:hAnsi="仿宋_GB2312" w:eastAsia="仿宋_GB2312" w:cs="仿宋_GB2312"/>
          <w:sz w:val="32"/>
        </w:rPr>
        <w:t>号</w:t>
      </w:r>
    </w:p>
    <w:p>
      <w:pPr>
        <w:bidi w:val="0"/>
        <w:rPr>
          <w:rFonts w:hint="eastAsia"/>
          <w:lang w:val="en-US" w:eastAsia="zh-CN"/>
        </w:rPr>
      </w:pPr>
    </w:p>
    <w:p>
      <w:pPr>
        <w:bidi w:val="0"/>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bidi w:val="0"/>
        <w:rPr>
          <w:rFonts w:hint="eastAsia"/>
          <w:lang w:val="en-US" w:eastAsia="zh-CN"/>
        </w:rPr>
      </w:pPr>
      <w:r>
        <w:rPr>
          <w:rFonts w:hint="eastAsia"/>
          <w:lang w:val="en-US" w:eastAsia="zh-CN"/>
        </w:rPr>
        <w:t>一、网上挂牌出让地块基本情况及规划指标要求</w:t>
      </w:r>
      <w:r>
        <w:rPr>
          <w:rFonts w:hint="eastAsia"/>
          <w:highlight w:val="none"/>
          <w:lang w:val="en-US" w:eastAsia="zh-CN"/>
        </w:rPr>
        <w:t>（见附表）。</w:t>
      </w:r>
    </w:p>
    <w:p>
      <w:pPr>
        <w:bidi w:val="0"/>
        <w:rPr>
          <w:rFonts w:hint="eastAsia"/>
          <w:lang w:val="en-US" w:eastAsia="zh-CN"/>
        </w:rPr>
      </w:pPr>
      <w:r>
        <w:rPr>
          <w:rFonts w:hint="eastAsia"/>
          <w:lang w:val="en-US" w:eastAsia="zh-CN"/>
        </w:rPr>
        <w:t>二、网上挂牌竞买时间为2020年5月21日9时至2020年6月4日10时。</w:t>
      </w:r>
    </w:p>
    <w:p>
      <w:pPr>
        <w:bidi w:val="0"/>
        <w:rPr>
          <w:rFonts w:hint="eastAsia"/>
          <w:lang w:val="en-US" w:eastAsia="zh-CN"/>
        </w:rPr>
      </w:pPr>
      <w:r>
        <w:rPr>
          <w:rFonts w:hint="eastAsia"/>
          <w:lang w:val="en-US" w:eastAsia="zh-CN"/>
        </w:rPr>
        <w:t>三、挂牌起始价为人民币130910万元，每次报价加价幅度为人民币1000万元的整数倍。</w:t>
      </w:r>
    </w:p>
    <w:p>
      <w:pPr>
        <w:bidi w:val="0"/>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bidi w:val="0"/>
        <w:rPr>
          <w:rFonts w:hint="eastAsia"/>
          <w:lang w:val="en-US" w:eastAsia="zh-CN"/>
        </w:rPr>
      </w:pPr>
      <w:r>
        <w:rPr>
          <w:rFonts w:hint="eastAsia"/>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bidi w:val="0"/>
        <w:rPr>
          <w:rFonts w:hint="eastAsia"/>
          <w:lang w:val="en-US" w:eastAsia="zh-CN"/>
        </w:rPr>
      </w:pPr>
      <w:r>
        <w:rPr>
          <w:rFonts w:hint="eastAsia"/>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bidi w:val="0"/>
        <w:rPr>
          <w:rFonts w:hint="eastAsia"/>
          <w:lang w:val="en-US" w:eastAsia="zh-CN"/>
        </w:rPr>
      </w:pPr>
      <w:r>
        <w:rPr>
          <w:rFonts w:hint="eastAsia"/>
          <w:lang w:val="en-US" w:eastAsia="zh-CN"/>
        </w:rPr>
        <w:t>五、该宗地竞买保证金可用人民币及外币（暂限于美元、港币）支付。</w:t>
      </w:r>
    </w:p>
    <w:p>
      <w:pPr>
        <w:bidi w:val="0"/>
        <w:rPr>
          <w:rFonts w:hint="eastAsia"/>
          <w:lang w:val="en-US" w:eastAsia="zh-CN"/>
        </w:rPr>
      </w:pPr>
      <w:r>
        <w:rPr>
          <w:rFonts w:hint="eastAsia"/>
          <w:lang w:val="en-US" w:eastAsia="zh-CN"/>
        </w:rPr>
        <w:t>六、申请人应具备的其他条件：</w:t>
      </w:r>
    </w:p>
    <w:p>
      <w:pPr>
        <w:bidi w:val="0"/>
        <w:rPr>
          <w:rFonts w:hint="eastAsia"/>
          <w:lang w:val="en-US" w:eastAsia="zh-CN"/>
        </w:rPr>
      </w:pPr>
      <w:r>
        <w:rPr>
          <w:rFonts w:hint="eastAsia"/>
          <w:lang w:val="en-US" w:eastAsia="zh-CN"/>
        </w:rPr>
        <w:t>（一）缴交竞买保证金</w:t>
      </w:r>
      <w:r>
        <w:rPr>
          <w:rFonts w:hint="eastAsia"/>
          <w:highlight w:val="none"/>
          <w:lang w:val="en-US" w:eastAsia="zh-CN"/>
        </w:rPr>
        <w:t>26182</w:t>
      </w:r>
      <w:r>
        <w:rPr>
          <w:rFonts w:hint="eastAsia"/>
          <w:lang w:val="en-US" w:eastAsia="zh-CN"/>
        </w:rPr>
        <w:t>万元人民币，如以外币缴交竞买保证金的，须缴交美元</w:t>
      </w:r>
      <w:r>
        <w:rPr>
          <w:rFonts w:hint="eastAsia"/>
          <w:highlight w:val="none"/>
          <w:lang w:eastAsia="zh-CN"/>
        </w:rPr>
        <w:t>3703</w:t>
      </w:r>
      <w:r>
        <w:rPr>
          <w:rFonts w:hint="eastAsia"/>
          <w:lang w:val="en-US" w:eastAsia="zh-CN"/>
        </w:rPr>
        <w:t>万元或港币</w:t>
      </w:r>
      <w:r>
        <w:rPr>
          <w:rFonts w:hint="eastAsia"/>
          <w:highlight w:val="none"/>
          <w:lang w:eastAsia="zh-CN"/>
        </w:rPr>
        <w:t>28700</w:t>
      </w:r>
      <w:r>
        <w:rPr>
          <w:rFonts w:hint="eastAsia"/>
          <w:lang w:val="en-US" w:eastAsia="zh-CN"/>
        </w:rPr>
        <w:t>万元。</w:t>
      </w:r>
    </w:p>
    <w:p>
      <w:pPr>
        <w:bidi w:val="0"/>
        <w:rPr>
          <w:rFonts w:hint="eastAsia"/>
          <w:lang w:val="en-US" w:eastAsia="zh-CN"/>
        </w:rPr>
      </w:pPr>
      <w:r>
        <w:rPr>
          <w:rFonts w:hint="eastAsia"/>
          <w:lang w:val="en-US" w:eastAsia="zh-CN"/>
        </w:rPr>
        <w:t>（二）竞得人在用地红线内开发建设必须符合城市规划要求，必须按《规划设计条件告知书》（案卷编号：</w:t>
      </w:r>
      <w:r>
        <w:rPr>
          <w:rFonts w:hint="eastAsia"/>
          <w:highlight w:val="none"/>
        </w:rPr>
        <w:t>PB</w:t>
      </w:r>
      <w:r>
        <w:rPr>
          <w:rFonts w:hint="eastAsia"/>
          <w:highlight w:val="none"/>
          <w:lang w:val="en-US" w:eastAsia="zh-CN"/>
        </w:rPr>
        <w:t>20200021</w:t>
      </w:r>
      <w:r>
        <w:rPr>
          <w:rFonts w:hint="eastAsia"/>
          <w:lang w:val="en-US" w:eastAsia="zh-CN"/>
        </w:rPr>
        <w:t>）规划控制指标要求及有关规定进行规划设计。</w:t>
      </w:r>
    </w:p>
    <w:p>
      <w:pPr>
        <w:bidi w:val="0"/>
        <w:rPr>
          <w:rFonts w:hint="eastAsia"/>
          <w:lang w:eastAsia="zh-CN"/>
        </w:rPr>
      </w:pPr>
      <w:r>
        <w:rPr>
          <w:rFonts w:hint="eastAsia"/>
          <w:lang w:val="en-US" w:eastAsia="zh-CN"/>
        </w:rPr>
        <w:t>（三）</w:t>
      </w:r>
      <w:r>
        <w:rPr>
          <w:rFonts w:hint="eastAsia"/>
          <w:highlight w:val="none"/>
          <w:lang w:eastAsia="zh-CN"/>
        </w:rPr>
        <w:t>TC05-01-01地块内的配套幼</w:t>
      </w:r>
      <w:r>
        <w:rPr>
          <w:rFonts w:hint="eastAsia"/>
          <w:lang w:eastAsia="zh-CN"/>
        </w:rPr>
        <w:t>儿园用地，在办理用地供地手续时，应将整个地块办理出让手续，在出让合同中明确由TC05-01-01地块使用权人按照规划要求和惠城区教育局提出的建设标准完成配套幼儿园建设并无偿移交，不动产登记部门在办理分割登记时，将幼儿园办至惠城区教育局名下。幼儿园应与项目同步规划、同步建设、同步实施，TC05-01-01地块如分期建设，幼儿园须纳入首期工程；</w:t>
      </w:r>
    </w:p>
    <w:p>
      <w:pPr>
        <w:bidi w:val="0"/>
        <w:rPr>
          <w:rFonts w:hint="eastAsia"/>
          <w:lang w:val="en-US" w:eastAsia="zh-CN"/>
        </w:rPr>
      </w:pPr>
      <w:r>
        <w:rPr>
          <w:rFonts w:hint="eastAsia"/>
          <w:lang w:val="en-US" w:eastAsia="zh-CN"/>
        </w:rPr>
        <w:t>（四）取得TC05-01-01地块土地使用权人应按照《规划设计条件告知书》的规划要求配建相应的配套设施。</w:t>
      </w:r>
    </w:p>
    <w:p>
      <w:pPr>
        <w:bidi w:val="0"/>
        <w:rPr>
          <w:rFonts w:hint="eastAsia"/>
          <w:lang w:val="en-US" w:eastAsia="zh-CN"/>
        </w:rPr>
      </w:pPr>
      <w:r>
        <w:rPr>
          <w:rFonts w:hint="eastAsia"/>
          <w:lang w:val="en-US" w:eastAsia="zh-CN"/>
        </w:rPr>
        <w:t>（五）存在下列违法违规违约行为之一的企业及其控股股东，不得参与竞买上述地块：</w:t>
      </w:r>
    </w:p>
    <w:p>
      <w:pPr>
        <w:bidi w:val="0"/>
        <w:rPr>
          <w:rFonts w:hint="eastAsia"/>
          <w:lang w:val="en-US" w:eastAsia="zh-CN"/>
        </w:rPr>
      </w:pPr>
      <w:r>
        <w:rPr>
          <w:rFonts w:hint="eastAsia"/>
          <w:lang w:val="en-US" w:eastAsia="zh-CN"/>
        </w:rPr>
        <w:t>1、存在伪造公文骗取用地和非法倒卖土地等犯罪行为的；</w:t>
      </w:r>
    </w:p>
    <w:p>
      <w:pPr>
        <w:bidi w:val="0"/>
        <w:rPr>
          <w:rFonts w:hint="eastAsia"/>
          <w:lang w:val="en-US" w:eastAsia="zh-CN"/>
        </w:rPr>
      </w:pPr>
      <w:r>
        <w:rPr>
          <w:rFonts w:hint="eastAsia"/>
          <w:lang w:val="en-US" w:eastAsia="zh-CN"/>
        </w:rPr>
        <w:t>2、存在非法转让土地使用权等违法行为的；</w:t>
      </w:r>
    </w:p>
    <w:p>
      <w:pPr>
        <w:bidi w:val="0"/>
        <w:rPr>
          <w:rFonts w:hint="eastAsia"/>
          <w:lang w:val="en-US" w:eastAsia="zh-CN"/>
        </w:rPr>
      </w:pPr>
      <w:r>
        <w:rPr>
          <w:rFonts w:hint="eastAsia"/>
          <w:lang w:val="en-US" w:eastAsia="zh-CN"/>
        </w:rPr>
        <w:t>3、因企业原因造成土地闲置一年以上且至报名日止未处罚完结的；</w:t>
      </w:r>
    </w:p>
    <w:p>
      <w:pPr>
        <w:bidi w:val="0"/>
        <w:rPr>
          <w:rFonts w:hint="eastAsia"/>
          <w:lang w:val="en-US" w:eastAsia="zh-CN"/>
        </w:rPr>
      </w:pPr>
      <w:r>
        <w:rPr>
          <w:rFonts w:hint="eastAsia"/>
          <w:lang w:val="en-US" w:eastAsia="zh-CN"/>
        </w:rPr>
        <w:t>4、开发建设企业有违背出让合同约定条件开发利用土地情形且至报名日止未处罚完结的；</w:t>
      </w:r>
    </w:p>
    <w:p>
      <w:pPr>
        <w:bidi w:val="0"/>
        <w:rPr>
          <w:rFonts w:hint="eastAsia"/>
          <w:lang w:val="en-US" w:eastAsia="zh-CN"/>
        </w:rPr>
      </w:pPr>
      <w:r>
        <w:rPr>
          <w:rFonts w:hint="eastAsia"/>
          <w:lang w:val="en-US" w:eastAsia="zh-CN"/>
        </w:rPr>
        <w:t>5、至报名日止仍拖欠政府地价款的;</w:t>
      </w:r>
    </w:p>
    <w:p>
      <w:pPr>
        <w:bidi w:val="0"/>
        <w:rPr>
          <w:rFonts w:hint="eastAsia"/>
          <w:lang w:val="en-US" w:eastAsia="zh-CN"/>
        </w:rPr>
      </w:pPr>
      <w:r>
        <w:rPr>
          <w:rFonts w:hint="eastAsia"/>
          <w:lang w:val="en-US" w:eastAsia="zh-CN"/>
        </w:rPr>
        <w:t>6、被列入问题楼盘开发企业黑名单的;</w:t>
      </w:r>
    </w:p>
    <w:p>
      <w:pPr>
        <w:bidi w:val="0"/>
        <w:rPr>
          <w:rFonts w:hint="eastAsia"/>
          <w:lang w:val="en-US" w:eastAsia="zh-CN"/>
        </w:rPr>
      </w:pPr>
      <w:r>
        <w:rPr>
          <w:rFonts w:hint="eastAsia"/>
          <w:lang w:val="en-US" w:eastAsia="zh-CN"/>
        </w:rPr>
        <w:t>7、存在其它被禁止竞买土地行为的。</w:t>
      </w:r>
    </w:p>
    <w:p>
      <w:pPr>
        <w:bidi w:val="0"/>
        <w:rPr>
          <w:rFonts w:hint="eastAsia"/>
          <w:lang w:val="en-US" w:eastAsia="zh-CN"/>
        </w:rPr>
      </w:pPr>
      <w:r>
        <w:rPr>
          <w:rFonts w:hint="eastAsia"/>
          <w:lang w:val="en-US" w:eastAsia="zh-CN"/>
        </w:rPr>
        <w:t>七、本次国有建设用地使用权网上挂牌出让为无底价挂牌出让，按照价高者得的原则确定竞得人。</w:t>
      </w:r>
    </w:p>
    <w:p>
      <w:pPr>
        <w:bidi w:val="0"/>
        <w:rPr>
          <w:rFonts w:hint="eastAsia"/>
          <w:lang w:val="en-US" w:eastAsia="zh-CN"/>
        </w:rPr>
      </w:pPr>
      <w:r>
        <w:rPr>
          <w:rFonts w:hint="eastAsia"/>
          <w:lang w:val="en-US" w:eastAsia="zh-CN"/>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lang w:val="en-US" w:eastAsia="zh-CN"/>
        </w:rPr>
        <w:t>）。申请人可在网上挂牌交易系统下载挂牌出让公告、须知及相关交易文件，并按上述文件规定的操作程序在网上参加竞买。</w:t>
      </w:r>
    </w:p>
    <w:p>
      <w:pPr>
        <w:bidi w:val="0"/>
        <w:rPr>
          <w:rFonts w:hint="eastAsia"/>
          <w:lang w:val="en-US" w:eastAsia="zh-CN"/>
        </w:rPr>
      </w:pPr>
      <w:r>
        <w:rPr>
          <w:rFonts w:hint="eastAsia"/>
          <w:lang w:val="en-US" w:eastAsia="zh-CN"/>
        </w:rPr>
        <w:t>九、有意竞买者可以自行到地块现场踏勘（可在网上挂牌交易系统查阅位置图和现状图）。</w:t>
      </w:r>
    </w:p>
    <w:p>
      <w:pPr>
        <w:bidi w:val="0"/>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2020年6月4日上午9时止。网上挂牌报价时间截止时，经系统询问，有竞买人表示愿意继续竞价的，系统自动进入网上限时竞价程序，通过竞价确定竞得人。</w:t>
      </w:r>
    </w:p>
    <w:p>
      <w:pPr>
        <w:bidi w:val="0"/>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bidi w:val="0"/>
        <w:rPr>
          <w:rFonts w:hint="eastAsia"/>
          <w:highlight w:val="none"/>
          <w:lang w:val="en-US" w:eastAsia="zh-CN"/>
        </w:rPr>
      </w:pPr>
      <w:r>
        <w:rPr>
          <w:rFonts w:hint="eastAsia"/>
          <w:highlight w:val="none"/>
          <w:lang w:val="en-US" w:eastAsia="zh-CN"/>
        </w:rPr>
        <w:t>十二、竞得人签订《成交确认书》后，缴交的保证金中按成交价的10%转作定金，竞得人签订《出让合同》后，定金转作土地出让价款。</w:t>
      </w:r>
    </w:p>
    <w:p>
      <w:pPr>
        <w:bidi w:val="0"/>
        <w:rPr>
          <w:rFonts w:hint="eastAsia"/>
          <w:lang w:val="en-US" w:eastAsia="zh-CN"/>
        </w:rPr>
      </w:pPr>
      <w:r>
        <w:rPr>
          <w:rFonts w:hint="eastAsia"/>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bidi w:val="0"/>
        <w:rPr>
          <w:rFonts w:hint="eastAsia"/>
          <w:lang w:val="en-US" w:eastAsia="zh-CN"/>
        </w:rPr>
      </w:pPr>
      <w:r>
        <w:rPr>
          <w:rFonts w:hint="eastAsia"/>
          <w:lang w:val="en-US" w:eastAsia="zh-CN"/>
        </w:rPr>
        <w:t>保证金少于成交价10%的，不足部分由竞得人在签订《成交确认书》之日起5个工作日内付清。</w:t>
      </w:r>
    </w:p>
    <w:p>
      <w:pPr>
        <w:bidi w:val="0"/>
        <w:rPr>
          <w:rFonts w:hint="eastAsia"/>
          <w:lang w:val="en-US" w:eastAsia="zh-CN"/>
        </w:rPr>
      </w:pPr>
      <w:r>
        <w:rPr>
          <w:rFonts w:hint="eastAsia"/>
          <w:lang w:val="en-US" w:eastAsia="zh-CN"/>
        </w:rPr>
        <w:t>十三、其它需要公告的事项</w:t>
      </w:r>
    </w:p>
    <w:p>
      <w:pPr>
        <w:bidi w:val="0"/>
        <w:rPr>
          <w:rFonts w:hint="eastAsia"/>
          <w:highlight w:val="none"/>
          <w:lang w:val="en-US" w:eastAsia="zh-CN"/>
        </w:rPr>
      </w:pPr>
      <w:r>
        <w:rPr>
          <w:rFonts w:hint="eastAsia"/>
          <w:highlight w:val="none"/>
          <w:lang w:val="en-US" w:eastAsia="zh-CN"/>
        </w:rPr>
        <w:t>（一）开发投资总额不少于211300万元（含地价，不含地价溢价部分）。</w:t>
      </w:r>
    </w:p>
    <w:p>
      <w:pPr>
        <w:bidi w:val="0"/>
        <w:rPr>
          <w:rFonts w:hint="eastAsia"/>
          <w:highlight w:val="none"/>
          <w:lang w:val="en-US" w:eastAsia="zh-CN"/>
        </w:rPr>
      </w:pPr>
      <w:r>
        <w:rPr>
          <w:rFonts w:hint="eastAsia"/>
          <w:highlight w:val="none"/>
          <w:lang w:val="en-US" w:eastAsia="zh-CN"/>
        </w:rPr>
        <w:t>（二）土地成交价款须以人民币支付，竞得人须在签订《出让合同》之日起一个月内缴清土地成交价款。</w:t>
      </w:r>
    </w:p>
    <w:p>
      <w:pPr>
        <w:bidi w:val="0"/>
        <w:rPr>
          <w:rFonts w:hint="eastAsia"/>
          <w:highlight w:val="none"/>
          <w:lang w:val="en-US" w:eastAsia="zh-CN"/>
        </w:rPr>
      </w:pPr>
      <w:r>
        <w:rPr>
          <w:rFonts w:hint="eastAsia"/>
          <w:highlight w:val="none"/>
          <w:lang w:val="en-US" w:eastAsia="zh-CN"/>
        </w:rPr>
        <w:t>（三）该地权利清晰，安置补偿落实到位，没有法律经济纠纷，具备动工开发所必须的基本条件。</w:t>
      </w:r>
    </w:p>
    <w:p>
      <w:pPr>
        <w:bidi w:val="0"/>
        <w:rPr>
          <w:rFonts w:hint="eastAsia"/>
          <w:lang w:val="en-US" w:eastAsia="zh-CN"/>
        </w:rPr>
      </w:pPr>
      <w:r>
        <w:rPr>
          <w:rFonts w:hint="eastAsia"/>
          <w:b w:val="0"/>
          <w:bCs w:val="0"/>
          <w:highlight w:val="none"/>
          <w:lang w:val="en-US" w:eastAsia="zh-CN"/>
        </w:rPr>
        <w:t>（四）</w:t>
      </w:r>
      <w:r>
        <w:rPr>
          <w:rFonts w:hint="eastAsia"/>
          <w:highlight w:val="none"/>
          <w:lang w:val="en-US" w:eastAsia="zh-CN"/>
        </w:rPr>
        <w:t>竞得人有下列行为之一的，视为违约，取消</w:t>
      </w:r>
      <w:r>
        <w:rPr>
          <w:rFonts w:hint="eastAsia"/>
          <w:lang w:val="en-US" w:eastAsia="zh-CN"/>
        </w:rPr>
        <w:t>竞得人资格，没收保证金，并由有关部门依法处理；造成损失的，竞得人还应依法承担赔偿责任：</w:t>
      </w:r>
    </w:p>
    <w:p>
      <w:pPr>
        <w:bidi w:val="0"/>
        <w:rPr>
          <w:rFonts w:hint="eastAsia"/>
          <w:lang w:val="en-US" w:eastAsia="zh-CN"/>
        </w:rPr>
      </w:pPr>
      <w:r>
        <w:rPr>
          <w:rFonts w:hint="eastAsia"/>
          <w:lang w:val="en-US" w:eastAsia="zh-CN"/>
        </w:rPr>
        <w:t>1、不符合竞买资格条件的；</w:t>
      </w:r>
    </w:p>
    <w:p>
      <w:pPr>
        <w:bidi w:val="0"/>
        <w:rPr>
          <w:rFonts w:hint="eastAsia"/>
          <w:lang w:val="en-US" w:eastAsia="zh-CN"/>
        </w:rPr>
      </w:pPr>
      <w:r>
        <w:rPr>
          <w:rFonts w:hint="eastAsia"/>
          <w:lang w:val="en-US" w:eastAsia="zh-CN"/>
        </w:rPr>
        <w:t>2、采取行贿、恶意串通等非法手段竞得的；</w:t>
      </w:r>
    </w:p>
    <w:p>
      <w:pPr>
        <w:bidi w:val="0"/>
        <w:rPr>
          <w:rFonts w:hint="eastAsia"/>
          <w:lang w:val="en-US" w:eastAsia="zh-CN"/>
        </w:rPr>
      </w:pPr>
      <w:r>
        <w:rPr>
          <w:rFonts w:hint="eastAsia"/>
          <w:lang w:val="en-US" w:eastAsia="zh-CN"/>
        </w:rPr>
        <w:t>3、竞得人以其他非法手段竞得的；</w:t>
      </w:r>
    </w:p>
    <w:p>
      <w:pPr>
        <w:bidi w:val="0"/>
        <w:rPr>
          <w:rFonts w:hint="eastAsia"/>
          <w:lang w:val="en-US" w:eastAsia="zh-CN"/>
        </w:rPr>
      </w:pPr>
      <w:r>
        <w:rPr>
          <w:rFonts w:hint="eastAsia"/>
          <w:lang w:val="en-US" w:eastAsia="zh-CN"/>
        </w:rPr>
        <w:t>4、竞得人逾期或拒绝签订《成交确认书》的；</w:t>
      </w:r>
    </w:p>
    <w:p>
      <w:pPr>
        <w:bidi w:val="0"/>
        <w:rPr>
          <w:rFonts w:hint="eastAsia"/>
          <w:lang w:val="en-US" w:eastAsia="zh-CN"/>
        </w:rPr>
      </w:pPr>
      <w:r>
        <w:rPr>
          <w:rFonts w:hint="eastAsia"/>
          <w:lang w:val="en-US" w:eastAsia="zh-CN"/>
        </w:rPr>
        <w:t>5、竞得人逾期或拒绝签订《出让合同》的；</w:t>
      </w:r>
    </w:p>
    <w:p>
      <w:pPr>
        <w:bidi w:val="0"/>
        <w:rPr>
          <w:rFonts w:hint="eastAsia"/>
          <w:lang w:val="en-US" w:eastAsia="zh-CN"/>
        </w:rPr>
      </w:pPr>
      <w:r>
        <w:rPr>
          <w:rFonts w:hint="eastAsia"/>
          <w:lang w:val="en-US" w:eastAsia="zh-CN"/>
        </w:rPr>
        <w:t>6、不按本须知规定提供有关纸质文件材料，或提供虚假文件材料、隐瞒重要事实，引起交易纠纷的；</w:t>
      </w:r>
    </w:p>
    <w:p>
      <w:pPr>
        <w:bidi w:val="0"/>
        <w:rPr>
          <w:rFonts w:hint="eastAsia"/>
          <w:lang w:val="en-US" w:eastAsia="zh-CN"/>
        </w:rPr>
      </w:pPr>
      <w:r>
        <w:rPr>
          <w:rFonts w:hint="eastAsia"/>
          <w:lang w:val="en-US" w:eastAsia="zh-CN"/>
        </w:rPr>
        <w:t>7、构成违约责任的其他行为。</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惠州市自然资源局用地科</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地址：惠州市江北三新南路7号</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联系人：彭先生</w:t>
      </w:r>
    </w:p>
    <w:p>
      <w:pPr>
        <w:keepNext w:val="0"/>
        <w:keepLines w:val="0"/>
        <w:pageBreakBefore w:val="0"/>
        <w:kinsoku/>
        <w:wordWrap/>
        <w:overflowPunct/>
        <w:topLinePunct w:val="0"/>
        <w:bidi w:val="0"/>
        <w:spacing w:line="560" w:lineRule="exact"/>
        <w:ind w:left="0" w:leftChars="0"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0752）</w:t>
      </w:r>
      <w:r>
        <w:rPr>
          <w:rFonts w:hint="eastAsia" w:ascii="仿宋_GB2312" w:hAnsi="仿宋_GB2312" w:cs="仿宋_GB2312"/>
          <w:sz w:val="32"/>
          <w:szCs w:val="32"/>
          <w:lang w:val="en-US" w:eastAsia="zh-CN"/>
        </w:rPr>
        <w:t>2896315</w:t>
      </w:r>
    </w:p>
    <w:p>
      <w:pPr>
        <w:keepNext w:val="0"/>
        <w:keepLines w:val="0"/>
        <w:pageBreakBefore w:val="0"/>
        <w:kinsoku/>
        <w:wordWrap/>
        <w:overflowPunct/>
        <w:topLinePunct w:val="0"/>
        <w:bidi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二</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惠州市公共资源交易中心土地矿业交易部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联系地址：广东省惠州市江北文华一路2号大隆大厦6楼</w:t>
      </w:r>
    </w:p>
    <w:p>
      <w:pPr>
        <w:keepNext w:val="0"/>
        <w:keepLines w:val="0"/>
        <w:pageBreakBefore w:val="0"/>
        <w:kinsoku/>
        <w:wordWrap/>
        <w:overflowPunct/>
        <w:topLinePunct w:val="0"/>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袁小姐、黄小姐</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0752）7121026、7121042</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firstLine="5120" w:firstLineChars="1600"/>
        <w:rPr>
          <w:rFonts w:hint="eastAsia" w:ascii="仿宋_GB2312" w:hAnsi="仿宋_GB2312" w:eastAsia="仿宋_GB2312" w:cs="仿宋_GB2312"/>
          <w:sz w:val="32"/>
          <w:szCs w:val="32"/>
        </w:rPr>
      </w:pPr>
    </w:p>
    <w:p>
      <w:pPr>
        <w:spacing w:line="520" w:lineRule="exact"/>
        <w:ind w:right="640"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440" w:firstLineChars="1700"/>
        <w:rPr>
          <w:rFonts w:hint="eastAsia" w:ascii="仿宋_GB2312" w:eastAsia="仿宋_GB2312"/>
          <w:sz w:val="32"/>
          <w:szCs w:val="32"/>
          <w:lang w:val="en-US" w:eastAsia="zh-CN"/>
        </w:rPr>
      </w:pPr>
      <w:r>
        <w:rPr>
          <w:rFonts w:hint="eastAsia" w:ascii="仿宋_GB2312" w:eastAsia="仿宋_GB2312"/>
          <w:sz w:val="32"/>
          <w:szCs w:val="32"/>
          <w:lang w:val="en-US" w:eastAsia="zh-CN"/>
        </w:rPr>
        <w:t>2020年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30</w:t>
      </w:r>
      <w:r>
        <w:rPr>
          <w:rFonts w:hint="eastAsia" w:ascii="仿宋_GB2312" w:eastAsia="仿宋_GB2312"/>
          <w:sz w:val="32"/>
          <w:szCs w:val="32"/>
          <w:lang w:val="en-US" w:eastAsia="zh-CN"/>
        </w:rPr>
        <w:t>日</w:t>
      </w:r>
    </w:p>
    <w:p>
      <w:pPr>
        <w:spacing w:line="360" w:lineRule="auto"/>
        <w:ind w:firstLine="5440" w:firstLineChars="1700"/>
        <w:rPr>
          <w:rFonts w:hint="eastAsia" w:ascii="仿宋_GB2312" w:eastAsia="仿宋_GB2312"/>
          <w:sz w:val="32"/>
          <w:szCs w:val="32"/>
          <w:lang w:val="en-US" w:eastAsia="zh-CN"/>
        </w:rPr>
      </w:pPr>
    </w:p>
    <w:p>
      <w:pPr>
        <w:spacing w:line="360" w:lineRule="auto"/>
        <w:ind w:firstLine="5440" w:firstLineChars="17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pPr>
        <w:keepNext w:val="0"/>
        <w:keepLines w:val="0"/>
        <w:pageBreakBefore w:val="0"/>
        <w:widowControl w:val="0"/>
        <w:tabs>
          <w:tab w:val="left" w:pos="9720"/>
        </w:tabs>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10"/>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44"/>
        <w:gridCol w:w="732"/>
        <w:gridCol w:w="624"/>
        <w:gridCol w:w="924"/>
        <w:gridCol w:w="948"/>
        <w:gridCol w:w="720"/>
        <w:gridCol w:w="672"/>
        <w:gridCol w:w="1650"/>
        <w:gridCol w:w="948"/>
        <w:gridCol w:w="780"/>
        <w:gridCol w:w="96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30"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挂牌地块编号</w:t>
            </w:r>
          </w:p>
        </w:tc>
        <w:tc>
          <w:tcPr>
            <w:tcW w:w="544"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位置</w:t>
            </w:r>
          </w:p>
        </w:tc>
        <w:tc>
          <w:tcPr>
            <w:tcW w:w="732"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规划编号</w:t>
            </w:r>
          </w:p>
        </w:tc>
        <w:tc>
          <w:tcPr>
            <w:tcW w:w="624"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用途</w:t>
            </w:r>
          </w:p>
        </w:tc>
        <w:tc>
          <w:tcPr>
            <w:tcW w:w="924"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宗地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使用权面积（㎡）</w:t>
            </w:r>
          </w:p>
        </w:tc>
        <w:tc>
          <w:tcPr>
            <w:tcW w:w="6678" w:type="dxa"/>
            <w:gridSpan w:val="7"/>
            <w:vAlign w:val="center"/>
          </w:tcPr>
          <w:p>
            <w:pPr>
              <w:keepNext w:val="0"/>
              <w:keepLines w:val="0"/>
              <w:pageBreakBefore w:val="0"/>
              <w:widowControl w:val="0"/>
              <w:kinsoku/>
              <w:wordWrap/>
              <w:overflowPunct/>
              <w:topLinePunct w:val="0"/>
              <w:bidi w:val="0"/>
              <w:adjustRightInd w:val="0"/>
              <w:snapToGrid w:val="0"/>
              <w:spacing w:line="240" w:lineRule="exact"/>
              <w:ind w:left="-285" w:leftChars="-89"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规划指标要求</w:t>
            </w:r>
          </w:p>
        </w:tc>
        <w:tc>
          <w:tcPr>
            <w:tcW w:w="948"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30"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4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732"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62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2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8"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计算</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指标</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建筑密度</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容</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积</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率</w:t>
            </w:r>
          </w:p>
        </w:tc>
        <w:tc>
          <w:tcPr>
            <w:tcW w:w="1650" w:type="dxa"/>
            <w:vAlign w:val="center"/>
          </w:tcPr>
          <w:p>
            <w:pPr>
              <w:keepNext w:val="0"/>
              <w:keepLines w:val="0"/>
              <w:pageBreakBefore w:val="0"/>
              <w:widowControl w:val="0"/>
              <w:kinsoku/>
              <w:wordWrap/>
              <w:overflowPunct/>
              <w:topLinePunct w:val="0"/>
              <w:bidi w:val="0"/>
              <w:spacing w:line="240" w:lineRule="exact"/>
              <w:ind w:left="44" w:right="-80"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计容积率建筑面积（㎡）</w:t>
            </w:r>
          </w:p>
        </w:tc>
        <w:tc>
          <w:tcPr>
            <w:tcW w:w="948"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机动车停车位配建标准</w:t>
            </w:r>
          </w:p>
        </w:tc>
        <w:tc>
          <w:tcPr>
            <w:tcW w:w="78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绿地率</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960" w:type="dxa"/>
            <w:vAlign w:val="center"/>
          </w:tcPr>
          <w:p>
            <w:pPr>
              <w:keepNext w:val="0"/>
              <w:keepLines w:val="0"/>
              <w:pageBreakBefore w:val="0"/>
              <w:widowControl w:val="0"/>
              <w:kinsoku/>
              <w:wordWrap/>
              <w:overflowPunct/>
              <w:topLinePunct w:val="0"/>
              <w:bidi w:val="0"/>
              <w:spacing w:line="240" w:lineRule="exact"/>
              <w:ind w:left="44" w:right="-80" w:rightChars="-25"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适建性</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8"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5" w:hRule="atLeast"/>
          <w:jc w:val="center"/>
        </w:trPr>
        <w:tc>
          <w:tcPr>
            <w:tcW w:w="530"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GP2020-15</w:t>
            </w:r>
          </w:p>
        </w:tc>
        <w:tc>
          <w:tcPr>
            <w:tcW w:w="544"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小金口汤村片区</w:t>
            </w:r>
          </w:p>
        </w:tc>
        <w:tc>
          <w:tcPr>
            <w:tcW w:w="732"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TC05-01-01</w:t>
            </w:r>
          </w:p>
        </w:tc>
        <w:tc>
          <w:tcPr>
            <w:tcW w:w="624"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住</w:t>
            </w:r>
            <w:r>
              <w:rPr>
                <w:rFonts w:hint="eastAsia" w:ascii="仿宋_GB2312" w:hAnsi="仿宋_GB2312" w:cs="仿宋_GB2312"/>
                <w:b w:val="0"/>
                <w:bCs w:val="0"/>
                <w:sz w:val="22"/>
                <w:szCs w:val="16"/>
                <w:lang w:val="en-US" w:eastAsia="zh-CN"/>
              </w:rPr>
              <w:t>宅、商服</w:t>
            </w:r>
            <w:r>
              <w:rPr>
                <w:rFonts w:hint="eastAsia" w:ascii="仿宋_GB2312" w:hAnsi="仿宋_GB2312" w:eastAsia="仿宋_GB2312" w:cs="仿宋_GB2312"/>
                <w:b w:val="0"/>
                <w:bCs w:val="0"/>
                <w:sz w:val="22"/>
                <w:szCs w:val="16"/>
              </w:rPr>
              <w:t>用地</w:t>
            </w:r>
          </w:p>
        </w:tc>
        <w:tc>
          <w:tcPr>
            <w:tcW w:w="924"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7</w:t>
            </w:r>
            <w:bookmarkStart w:id="0" w:name="_GoBack"/>
            <w:bookmarkEnd w:id="0"/>
            <w:r>
              <w:rPr>
                <w:rFonts w:hint="eastAsia" w:ascii="仿宋_GB2312" w:hAnsi="仿宋_GB2312" w:eastAsia="仿宋_GB2312" w:cs="仿宋_GB2312"/>
                <w:b w:val="0"/>
                <w:bCs w:val="0"/>
                <w:sz w:val="22"/>
                <w:szCs w:val="16"/>
              </w:rPr>
              <w:t>4818.74</w:t>
            </w:r>
          </w:p>
        </w:tc>
        <w:tc>
          <w:tcPr>
            <w:tcW w:w="948"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77723.76</w:t>
            </w:r>
          </w:p>
        </w:tc>
        <w:tc>
          <w:tcPr>
            <w:tcW w:w="72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w:t>
            </w:r>
            <w:r>
              <w:rPr>
                <w:rFonts w:hint="eastAsia" w:ascii="仿宋_GB2312" w:hAnsi="仿宋_GB2312" w:eastAsia="仿宋_GB2312" w:cs="仿宋_GB2312"/>
                <w:b w:val="0"/>
                <w:bCs w:val="0"/>
                <w:color w:val="000000"/>
                <w:sz w:val="22"/>
                <w:szCs w:val="16"/>
              </w:rPr>
              <w:t>22％</w:t>
            </w:r>
          </w:p>
        </w:tc>
        <w:tc>
          <w:tcPr>
            <w:tcW w:w="672"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lang w:val="en-US" w:eastAsia="zh-CN"/>
              </w:rPr>
            </w:pPr>
            <w:r>
              <w:rPr>
                <w:rFonts w:hint="eastAsia" w:ascii="仿宋_GB2312" w:hAnsi="仿宋_GB2312" w:eastAsia="仿宋_GB2312" w:cs="仿宋_GB2312"/>
                <w:b w:val="0"/>
                <w:bCs w:val="0"/>
                <w:sz w:val="22"/>
                <w:szCs w:val="16"/>
              </w:rPr>
              <w:t>≤3.</w:t>
            </w:r>
            <w:r>
              <w:rPr>
                <w:rFonts w:hint="eastAsia" w:ascii="仿宋_GB2312" w:hAnsi="仿宋_GB2312" w:cs="仿宋_GB2312"/>
                <w:b w:val="0"/>
                <w:bCs w:val="0"/>
                <w:sz w:val="22"/>
                <w:szCs w:val="16"/>
                <w:lang w:val="en-US" w:eastAsia="zh-CN"/>
              </w:rPr>
              <w:t>0</w:t>
            </w:r>
          </w:p>
        </w:tc>
        <w:tc>
          <w:tcPr>
            <w:tcW w:w="165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≤233172㎡</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color w:val="000000"/>
                <w:sz w:val="22"/>
                <w:szCs w:val="16"/>
                <w:lang w:eastAsia="zh-CN"/>
              </w:rPr>
            </w:pPr>
            <w:r>
              <w:rPr>
                <w:rFonts w:hint="eastAsia" w:ascii="仿宋_GB2312" w:hAnsi="仿宋_GB2312" w:eastAsia="仿宋_GB2312" w:cs="仿宋_GB2312"/>
                <w:b w:val="0"/>
                <w:bCs w:val="0"/>
                <w:color w:val="000000"/>
                <w:sz w:val="22"/>
                <w:szCs w:val="16"/>
              </w:rPr>
              <w:t>(其中：商业建筑面积≤5%</w:t>
            </w:r>
            <w:r>
              <w:rPr>
                <w:rFonts w:hint="eastAsia" w:ascii="仿宋_GB2312" w:hAnsi="仿宋_GB2312" w:cs="仿宋_GB2312"/>
                <w:b w:val="0"/>
                <w:bCs w:val="0"/>
                <w:color w:val="000000"/>
                <w:sz w:val="22"/>
                <w:szCs w:val="16"/>
                <w:lang w:eastAsia="zh-CN"/>
              </w:rPr>
              <w:t>，</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配套设施建筑面积≥7100㎡)</w:t>
            </w:r>
          </w:p>
        </w:tc>
        <w:tc>
          <w:tcPr>
            <w:tcW w:w="948"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住宅、商业每100㎡计容积率建筑面积≥1个，幼儿园每100师生≥2个</w:t>
            </w:r>
          </w:p>
        </w:tc>
        <w:tc>
          <w:tcPr>
            <w:tcW w:w="780" w:type="dxa"/>
            <w:vAlign w:val="center"/>
          </w:tcPr>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w:t>
            </w:r>
            <w:r>
              <w:rPr>
                <w:rFonts w:hint="eastAsia" w:ascii="仿宋_GB2312" w:hAnsi="仿宋_GB2312" w:eastAsia="仿宋_GB2312" w:cs="仿宋_GB2312"/>
                <w:b w:val="0"/>
                <w:bCs w:val="0"/>
                <w:sz w:val="22"/>
                <w:szCs w:val="16"/>
              </w:rPr>
              <w:t>35</w:t>
            </w:r>
          </w:p>
        </w:tc>
        <w:tc>
          <w:tcPr>
            <w:tcW w:w="960" w:type="dxa"/>
            <w:vAlign w:val="center"/>
          </w:tcPr>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住宅和</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商业</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及配套</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color w:val="000000"/>
                <w:sz w:val="22"/>
                <w:szCs w:val="16"/>
              </w:rPr>
              <w:t>设施</w:t>
            </w:r>
          </w:p>
        </w:tc>
        <w:tc>
          <w:tcPr>
            <w:tcW w:w="948" w:type="dxa"/>
            <w:vAlign w:val="center"/>
          </w:tcPr>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住宅</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70年；</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商服</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40年。</w:t>
            </w:r>
          </w:p>
          <w:p>
            <w:pPr>
              <w:keepNext w:val="0"/>
              <w:keepLines w:val="0"/>
              <w:pageBreakBefore w:val="0"/>
              <w:widowControl w:val="0"/>
              <w:kinsoku/>
              <w:wordWrap/>
              <w:overflowPunct/>
              <w:topLinePunct w:val="0"/>
              <w:bidi w:val="0"/>
              <w:spacing w:line="240" w:lineRule="exact"/>
              <w:ind w:leftChars="-51" w:right="-179" w:rightChars="-56" w:firstLine="0" w:firstLineChars="0"/>
              <w:jc w:val="center"/>
              <w:textAlignment w:val="auto"/>
              <w:rPr>
                <w:rFonts w:hint="eastAsia" w:ascii="仿宋_GB2312" w:hAnsi="仿宋_GB2312" w:eastAsia="仿宋_GB2312" w:cs="仿宋_GB2312"/>
                <w:b w:val="0"/>
                <w:bCs w:val="0"/>
                <w:color w:val="000000"/>
                <w:sz w:val="22"/>
                <w:szCs w:val="16"/>
              </w:rPr>
            </w:pPr>
          </w:p>
        </w:tc>
      </w:tr>
    </w:tbl>
    <w:p>
      <w:pPr>
        <w:spacing w:line="360" w:lineRule="auto"/>
        <w:ind w:firstLine="5440" w:firstLineChars="1700"/>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sectPr>
      <w:footerReference r:id="rId6"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separate"/>
    </w:r>
    <w:r>
      <w:rPr>
        <w:rStyle w:val="9"/>
      </w:rPr>
      <w:t>- 9 -</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eastAsia"/>
      </w:rPr>
    </w:pPr>
  </w:p>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53"/>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2301"/>
    <w:rsid w:val="00C60885"/>
    <w:rsid w:val="018568A4"/>
    <w:rsid w:val="01AD2518"/>
    <w:rsid w:val="01BD4869"/>
    <w:rsid w:val="01C2132E"/>
    <w:rsid w:val="02766ADB"/>
    <w:rsid w:val="03212254"/>
    <w:rsid w:val="03882E7C"/>
    <w:rsid w:val="04075C58"/>
    <w:rsid w:val="04D43625"/>
    <w:rsid w:val="06BC2A67"/>
    <w:rsid w:val="09601526"/>
    <w:rsid w:val="0D2464B5"/>
    <w:rsid w:val="0D893286"/>
    <w:rsid w:val="11174FF7"/>
    <w:rsid w:val="1194649A"/>
    <w:rsid w:val="11D853C4"/>
    <w:rsid w:val="14DB27BC"/>
    <w:rsid w:val="161A1693"/>
    <w:rsid w:val="172A2D21"/>
    <w:rsid w:val="1797364A"/>
    <w:rsid w:val="17C148B7"/>
    <w:rsid w:val="18BD3D8B"/>
    <w:rsid w:val="1BF9481C"/>
    <w:rsid w:val="1D497F8F"/>
    <w:rsid w:val="1E965E08"/>
    <w:rsid w:val="1F315400"/>
    <w:rsid w:val="1F986BF2"/>
    <w:rsid w:val="1FA42111"/>
    <w:rsid w:val="1FB65BF7"/>
    <w:rsid w:val="21072B5A"/>
    <w:rsid w:val="21A72AE3"/>
    <w:rsid w:val="22FA6C0B"/>
    <w:rsid w:val="235762B7"/>
    <w:rsid w:val="242968F6"/>
    <w:rsid w:val="250704A9"/>
    <w:rsid w:val="25D02653"/>
    <w:rsid w:val="280923E7"/>
    <w:rsid w:val="2B612796"/>
    <w:rsid w:val="2CAE0CC7"/>
    <w:rsid w:val="2DDB2008"/>
    <w:rsid w:val="2FE829D4"/>
    <w:rsid w:val="30C8471E"/>
    <w:rsid w:val="31054CCD"/>
    <w:rsid w:val="316F7559"/>
    <w:rsid w:val="31992AF0"/>
    <w:rsid w:val="31D77C3C"/>
    <w:rsid w:val="32326956"/>
    <w:rsid w:val="32566A18"/>
    <w:rsid w:val="34923739"/>
    <w:rsid w:val="34E918F9"/>
    <w:rsid w:val="34FA6C05"/>
    <w:rsid w:val="353811D8"/>
    <w:rsid w:val="353B25F0"/>
    <w:rsid w:val="35A366CD"/>
    <w:rsid w:val="3686773B"/>
    <w:rsid w:val="37464121"/>
    <w:rsid w:val="399D46A1"/>
    <w:rsid w:val="3C9C10F0"/>
    <w:rsid w:val="3D221D77"/>
    <w:rsid w:val="3D5B4276"/>
    <w:rsid w:val="3D872301"/>
    <w:rsid w:val="3E2B7CDB"/>
    <w:rsid w:val="3F542796"/>
    <w:rsid w:val="412616D0"/>
    <w:rsid w:val="41C02416"/>
    <w:rsid w:val="423C1B4F"/>
    <w:rsid w:val="42446027"/>
    <w:rsid w:val="424906B7"/>
    <w:rsid w:val="42EB4521"/>
    <w:rsid w:val="44BD52CA"/>
    <w:rsid w:val="45304C7D"/>
    <w:rsid w:val="46145DD8"/>
    <w:rsid w:val="46186DCB"/>
    <w:rsid w:val="4794548B"/>
    <w:rsid w:val="47B567F9"/>
    <w:rsid w:val="4857347D"/>
    <w:rsid w:val="487C63C8"/>
    <w:rsid w:val="48B73A4A"/>
    <w:rsid w:val="48C14FF6"/>
    <w:rsid w:val="48D32293"/>
    <w:rsid w:val="4A375643"/>
    <w:rsid w:val="4DA51DA7"/>
    <w:rsid w:val="4ECE3331"/>
    <w:rsid w:val="4FF43D43"/>
    <w:rsid w:val="51606B12"/>
    <w:rsid w:val="5385612D"/>
    <w:rsid w:val="552912AF"/>
    <w:rsid w:val="55706BDA"/>
    <w:rsid w:val="57FF3E46"/>
    <w:rsid w:val="58C918B8"/>
    <w:rsid w:val="59B31617"/>
    <w:rsid w:val="5B403157"/>
    <w:rsid w:val="5DBD27C3"/>
    <w:rsid w:val="5E157804"/>
    <w:rsid w:val="5EDC409A"/>
    <w:rsid w:val="5F03050D"/>
    <w:rsid w:val="5F70021B"/>
    <w:rsid w:val="606F79FB"/>
    <w:rsid w:val="60A02554"/>
    <w:rsid w:val="61BC1293"/>
    <w:rsid w:val="62687B8A"/>
    <w:rsid w:val="631C00DA"/>
    <w:rsid w:val="63791045"/>
    <w:rsid w:val="64BB5418"/>
    <w:rsid w:val="659A77F3"/>
    <w:rsid w:val="68B724EB"/>
    <w:rsid w:val="68D51EC8"/>
    <w:rsid w:val="6B8972CE"/>
    <w:rsid w:val="6C2650E0"/>
    <w:rsid w:val="6CB17AED"/>
    <w:rsid w:val="6D6A6905"/>
    <w:rsid w:val="6DCD3746"/>
    <w:rsid w:val="6EDB23EE"/>
    <w:rsid w:val="6F953355"/>
    <w:rsid w:val="706412D0"/>
    <w:rsid w:val="74616C1E"/>
    <w:rsid w:val="74C92307"/>
    <w:rsid w:val="755E2206"/>
    <w:rsid w:val="77C64378"/>
    <w:rsid w:val="77FD1265"/>
    <w:rsid w:val="788C147F"/>
    <w:rsid w:val="79E35305"/>
    <w:rsid w:val="7A472EE3"/>
    <w:rsid w:val="7AC75D93"/>
    <w:rsid w:val="7B27321C"/>
    <w:rsid w:val="7B667497"/>
    <w:rsid w:val="7BB61CFB"/>
    <w:rsid w:val="7BF74CF0"/>
    <w:rsid w:val="7C2B14DB"/>
    <w:rsid w:val="7D134BD5"/>
    <w:rsid w:val="7E1304FC"/>
    <w:rsid w:val="7E1B1DC8"/>
    <w:rsid w:val="7EC2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2">
    <w:name w:val="heading 1"/>
    <w:next w:val="1"/>
    <w:qFormat/>
    <w:uiPriority w:val="0"/>
    <w:pPr>
      <w:keepNext/>
      <w:keepLines/>
      <w:spacing w:beforeLines="0" w:beforeAutospacing="0" w:afterLines="0" w:afterAutospacing="0" w:line="560" w:lineRule="exact"/>
      <w:ind w:firstLine="852" w:firstLineChars="200"/>
      <w:jc w:val="both"/>
      <w:outlineLvl w:val="0"/>
    </w:pPr>
    <w:rPr>
      <w:rFonts w:ascii="Times New Roman" w:hAnsi="Times New Roman" w:eastAsia="黑体" w:cstheme="minorBidi"/>
      <w:kern w:val="44"/>
      <w:sz w:val="32"/>
      <w:szCs w:val="32"/>
    </w:rPr>
  </w:style>
  <w:style w:type="paragraph" w:styleId="3">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4">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5">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paragraph" w:customStyle="1" w:styleId="11">
    <w:name w:val="公文标题"/>
    <w:next w:val="1"/>
    <w:qFormat/>
    <w:uiPriority w:val="0"/>
    <w:pPr>
      <w:spacing w:line="700" w:lineRule="exact"/>
      <w:ind w:firstLine="0" w:firstLineChars="0"/>
      <w:jc w:val="center"/>
    </w:pPr>
    <w:rPr>
      <w:rFonts w:ascii="Calibri" w:hAnsi="Calibri" w:eastAsia="方正小标宋_GBK" w:cstheme="minorBidi"/>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19994;&#21153;&#21150;&#29702;\2020&#24180;&#22303;&#22320;&#20379;&#24212;\&#39532;&#23433;&#20013;&#24515;&#21306;JD17-01&#22320;&#22359;\&#22996;&#25176;&#25346;&#2926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1</Pages>
  <Words>137</Words>
  <Characters>137</Characters>
  <Lines>0</Lines>
  <Paragraphs>0</Paragraphs>
  <TotalTime>7</TotalTime>
  <ScaleCrop>false</ScaleCrop>
  <LinksUpToDate>false</LinksUpToDate>
  <CharactersWithSpaces>137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市自然资源局</dc:creator>
  <cp:lastModifiedBy>袁秀玲</cp:lastModifiedBy>
  <cp:lastPrinted>2020-04-30T07:29:00Z</cp:lastPrinted>
  <dcterms:modified xsi:type="dcterms:W3CDTF">2020-04-30T09:50:57Z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