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lang w:val="en-US" w:eastAsia="zh-CN"/>
        </w:rPr>
      </w:pPr>
    </w:p>
    <w:p>
      <w:pPr>
        <w:pStyle w:val="10"/>
        <w:bidi w:val="0"/>
        <w:rPr>
          <w:rFonts w:hint="eastAsia"/>
          <w:lang w:val="en-US" w:eastAsia="zh-CN"/>
        </w:rPr>
      </w:pPr>
      <w:r>
        <w:rPr>
          <w:rFonts w:hint="eastAsia"/>
          <w:lang w:val="en-US" w:eastAsia="zh-CN"/>
        </w:rPr>
        <w:t>惠州市国有建设用地使用权网上挂牌出让公告</w:t>
      </w:r>
    </w:p>
    <w:p>
      <w:pPr>
        <w:bidi w:val="0"/>
        <w:ind w:left="0" w:leftChars="0" w:firstLine="0" w:firstLineChars="0"/>
        <w:jc w:val="center"/>
        <w:rPr>
          <w:rFonts w:hint="eastAsia"/>
          <w:lang w:val="en-US" w:eastAsia="zh-CN"/>
        </w:rPr>
      </w:pPr>
      <w:r>
        <w:rPr>
          <w:rFonts w:hint="eastAsia"/>
          <w:lang w:val="en-US" w:eastAsia="zh-CN"/>
        </w:rPr>
        <w:t>惠公易土市直[2020]053号</w:t>
      </w:r>
    </w:p>
    <w:p>
      <w:pPr>
        <w:bidi w:val="0"/>
        <w:ind w:left="0" w:leftChars="0" w:firstLine="0" w:firstLineChars="0"/>
        <w:jc w:val="center"/>
        <w:rPr>
          <w:rFonts w:hint="eastAsia"/>
          <w:lang w:val="en-US" w:eastAsia="zh-CN"/>
        </w:rPr>
      </w:pPr>
    </w:p>
    <w:p>
      <w:pPr>
        <w:bidi w:val="0"/>
        <w:rPr>
          <w:rFonts w:hint="eastAsia"/>
          <w:lang w:val="en-US" w:eastAsia="zh-CN"/>
        </w:rPr>
      </w:pPr>
      <w:r>
        <w:rPr>
          <w:rFonts w:hint="eastAsia"/>
          <w:lang w:val="en-US" w:eastAsia="zh-CN"/>
        </w:rPr>
        <w:t>根据《招标拍卖挂牌出让国有建设用地使用权规定》（国土资源部令 第39号）和《广东省土地使用权交易市场管理规定》（广东省人民政府令 第79号）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bidi w:val="0"/>
        <w:rPr>
          <w:rFonts w:hint="eastAsia"/>
          <w:lang w:val="en-US" w:eastAsia="zh-CN"/>
        </w:rPr>
      </w:pPr>
      <w:r>
        <w:rPr>
          <w:rFonts w:hint="eastAsia"/>
          <w:lang w:val="en-US" w:eastAsia="zh-CN"/>
        </w:rPr>
        <w:t>一、网上挂牌出让地块基本情况及规划指标要求</w:t>
      </w:r>
      <w:r>
        <w:rPr>
          <w:rFonts w:hint="eastAsia"/>
          <w:highlight w:val="none"/>
          <w:lang w:val="en-US" w:eastAsia="zh-CN"/>
        </w:rPr>
        <w:t>（见附表）。</w:t>
      </w:r>
    </w:p>
    <w:p>
      <w:pPr>
        <w:bidi w:val="0"/>
        <w:rPr>
          <w:rFonts w:hint="eastAsia"/>
          <w:lang w:val="en-US" w:eastAsia="zh-CN"/>
        </w:rPr>
      </w:pPr>
      <w:r>
        <w:rPr>
          <w:rFonts w:hint="eastAsia"/>
          <w:lang w:val="en-US" w:eastAsia="zh-CN"/>
        </w:rPr>
        <w:t>二、网上挂牌竞买时间为2020年12月31日9时至2021年1月15日10时。</w:t>
      </w:r>
    </w:p>
    <w:p>
      <w:pPr>
        <w:bidi w:val="0"/>
        <w:rPr>
          <w:rFonts w:hint="eastAsia"/>
          <w:lang w:val="en-US" w:eastAsia="zh-CN"/>
        </w:rPr>
      </w:pPr>
      <w:r>
        <w:rPr>
          <w:rFonts w:hint="eastAsia"/>
          <w:lang w:val="en-US" w:eastAsia="zh-CN"/>
        </w:rPr>
        <w:t>三、挂牌起始价为人民币600万元，每次报价加价幅度为人民币100万元的整数倍。</w:t>
      </w:r>
    </w:p>
    <w:p>
      <w:pPr>
        <w:bidi w:val="0"/>
        <w:rPr>
          <w:rFonts w:hint="eastAsia"/>
          <w:lang w:val="en-US" w:eastAsia="zh-CN"/>
        </w:rPr>
      </w:pPr>
      <w:r>
        <w:rPr>
          <w:rFonts w:hint="eastAsia"/>
          <w:lang w:val="en-US" w:eastAsia="zh-CN"/>
        </w:rPr>
        <w:t>四、中华人民共和国境内外的法人、自然人和其他组织（除法律法规另有规定外）均可申请参加竞买。申请人可以单独申请，也可以联合申请：</w:t>
      </w:r>
    </w:p>
    <w:p>
      <w:pPr>
        <w:bidi w:val="0"/>
        <w:rPr>
          <w:rFonts w:hint="eastAsia"/>
          <w:lang w:val="en-US" w:eastAsia="zh-CN"/>
        </w:rPr>
      </w:pPr>
      <w:r>
        <w:rPr>
          <w:rFonts w:hint="eastAsia"/>
          <w:lang w:val="en-US" w:eastAsia="zh-CN"/>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bidi w:val="0"/>
        <w:rPr>
          <w:rFonts w:hint="eastAsia"/>
          <w:lang w:val="en-US" w:eastAsia="zh-CN"/>
        </w:rPr>
      </w:pPr>
      <w:r>
        <w:rPr>
          <w:rFonts w:hint="eastAsia"/>
          <w:lang w:val="en-US" w:eastAsia="zh-CN"/>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bidi w:val="0"/>
        <w:rPr>
          <w:rFonts w:hint="eastAsia"/>
          <w:lang w:val="en-US" w:eastAsia="zh-CN"/>
        </w:rPr>
      </w:pPr>
      <w:r>
        <w:rPr>
          <w:rFonts w:hint="eastAsia"/>
          <w:lang w:val="en-US" w:eastAsia="zh-CN"/>
        </w:rPr>
        <w:t>五、该宗地竞买保证金可用人民币及外币（暂限于美元、港币）支付。</w:t>
      </w:r>
    </w:p>
    <w:p>
      <w:pPr>
        <w:bidi w:val="0"/>
        <w:rPr>
          <w:rFonts w:hint="eastAsia"/>
          <w:lang w:val="en-US" w:eastAsia="zh-CN"/>
        </w:rPr>
      </w:pPr>
      <w:r>
        <w:rPr>
          <w:rFonts w:hint="eastAsia"/>
          <w:lang w:val="en-US" w:eastAsia="zh-CN"/>
        </w:rPr>
        <w:t>六、申请人应具备的其他条件：</w:t>
      </w:r>
    </w:p>
    <w:p>
      <w:pPr>
        <w:bidi w:val="0"/>
        <w:rPr>
          <w:rFonts w:hint="eastAsia"/>
          <w:lang w:val="en-US" w:eastAsia="zh-CN"/>
        </w:rPr>
      </w:pPr>
      <w:r>
        <w:rPr>
          <w:rFonts w:hint="eastAsia"/>
          <w:lang w:val="en-US" w:eastAsia="zh-CN"/>
        </w:rPr>
        <w:t>（一）缴交竞买保证金</w:t>
      </w:r>
      <w:r>
        <w:rPr>
          <w:rFonts w:hint="eastAsia"/>
          <w:highlight w:val="none"/>
          <w:lang w:val="en-US" w:eastAsia="zh-CN"/>
        </w:rPr>
        <w:t>120</w:t>
      </w:r>
      <w:r>
        <w:rPr>
          <w:rFonts w:hint="eastAsia"/>
          <w:lang w:val="en-US" w:eastAsia="zh-CN"/>
        </w:rPr>
        <w:t>万元人民币，如以外币缴交竞买保证金的，须缴交美元</w:t>
      </w:r>
      <w:r>
        <w:rPr>
          <w:rFonts w:hint="eastAsia"/>
          <w:highlight w:val="none"/>
          <w:lang w:val="en-US" w:eastAsia="zh-CN"/>
        </w:rPr>
        <w:t>19</w:t>
      </w:r>
      <w:r>
        <w:rPr>
          <w:rFonts w:hint="eastAsia"/>
          <w:lang w:val="en-US" w:eastAsia="zh-CN"/>
        </w:rPr>
        <w:t>万元或港币</w:t>
      </w:r>
      <w:r>
        <w:rPr>
          <w:rFonts w:hint="eastAsia"/>
          <w:highlight w:val="none"/>
          <w:lang w:val="en-US" w:eastAsia="zh-CN"/>
        </w:rPr>
        <w:t>141</w:t>
      </w:r>
      <w:r>
        <w:rPr>
          <w:rFonts w:hint="eastAsia"/>
          <w:lang w:val="en-US" w:eastAsia="zh-CN"/>
        </w:rPr>
        <w:t>万元；</w:t>
      </w:r>
    </w:p>
    <w:p>
      <w:pPr>
        <w:bidi w:val="0"/>
        <w:rPr>
          <w:rFonts w:hint="eastAsia"/>
          <w:lang w:val="en-US" w:eastAsia="zh-CN"/>
        </w:rPr>
      </w:pPr>
      <w:r>
        <w:rPr>
          <w:rFonts w:hint="eastAsia"/>
          <w:lang w:val="en-US" w:eastAsia="zh-CN"/>
        </w:rPr>
        <w:t>（二）竞得人在用地红线内开发建设必须符合城市规划要求，必须按《建设用地规划设计条件》（案卷编号：PB20200097号）规划控制指标要求及有关规定进行规划设计；</w:t>
      </w:r>
    </w:p>
    <w:p>
      <w:pPr>
        <w:bidi w:val="0"/>
        <w:rPr>
          <w:rFonts w:hint="eastAsia"/>
          <w:lang w:val="en-US" w:eastAsia="zh-CN"/>
        </w:rPr>
      </w:pPr>
      <w:r>
        <w:rPr>
          <w:rFonts w:hint="eastAsia"/>
          <w:lang w:val="en-US" w:eastAsia="zh-CN"/>
        </w:rPr>
        <w:t>（三）地面公园由取得LH-01用地的土地使用权者负责建设并无偿移交给政府相关部门，并与地下停车库同步规划、同步建设、同步验收交付使用；</w:t>
      </w:r>
    </w:p>
    <w:p>
      <w:pPr>
        <w:bidi w:val="0"/>
        <w:rPr>
          <w:rFonts w:hint="eastAsia"/>
          <w:lang w:val="en-US" w:eastAsia="zh-CN"/>
        </w:rPr>
      </w:pPr>
      <w:r>
        <w:rPr>
          <w:rFonts w:hint="eastAsia"/>
          <w:lang w:val="en-US" w:eastAsia="zh-CN"/>
        </w:rPr>
        <w:t>（四）取得菱湖LH-01地块（地下空间）土地使用权者应按照《建设用地规划设计条件》的规划要求配建相应的配套设施；</w:t>
      </w:r>
    </w:p>
    <w:p>
      <w:pPr>
        <w:bidi w:val="0"/>
        <w:rPr>
          <w:rFonts w:hint="eastAsia"/>
          <w:lang w:val="en-US" w:eastAsia="zh-CN"/>
        </w:rPr>
      </w:pPr>
      <w:r>
        <w:rPr>
          <w:rFonts w:hint="eastAsia"/>
          <w:lang w:val="en-US" w:eastAsia="zh-CN"/>
        </w:rPr>
        <w:t>（五）菱湖LH-01地块（地下空间）建设项目须依照有关法律、法规的规定，经风景名胜区管理机构审核后，报有关主管部门办理临时使用手续等。建设时采取有效措施保护好生态环境，建成后恢复原状；</w:t>
      </w:r>
    </w:p>
    <w:p>
      <w:pPr>
        <w:bidi w:val="0"/>
        <w:rPr>
          <w:rFonts w:hint="eastAsia"/>
          <w:lang w:val="en-US" w:eastAsia="zh-CN"/>
        </w:rPr>
      </w:pPr>
      <w:r>
        <w:rPr>
          <w:rFonts w:hint="eastAsia"/>
          <w:lang w:val="en-US" w:eastAsia="zh-CN"/>
        </w:rPr>
        <w:t>（六）存在下列违法违规违约行为之一的企业及其控股股东，不得参与竞买上述地块：</w:t>
      </w:r>
    </w:p>
    <w:p>
      <w:pPr>
        <w:bidi w:val="0"/>
        <w:rPr>
          <w:rFonts w:hint="eastAsia"/>
          <w:lang w:val="en-US" w:eastAsia="zh-CN"/>
        </w:rPr>
      </w:pPr>
      <w:r>
        <w:rPr>
          <w:rFonts w:hint="eastAsia"/>
          <w:lang w:val="en-US" w:eastAsia="zh-CN"/>
        </w:rPr>
        <w:t>1.存在伪造公文骗取用地和非法倒卖土地等犯罪行为的；</w:t>
      </w:r>
    </w:p>
    <w:p>
      <w:pPr>
        <w:bidi w:val="0"/>
        <w:rPr>
          <w:rFonts w:hint="eastAsia"/>
          <w:lang w:val="en-US" w:eastAsia="zh-CN"/>
        </w:rPr>
      </w:pPr>
      <w:r>
        <w:rPr>
          <w:rFonts w:hint="eastAsia"/>
          <w:lang w:val="en-US" w:eastAsia="zh-CN"/>
        </w:rPr>
        <w:t>2.存在非法转让土地使用权等违法行为的；</w:t>
      </w:r>
    </w:p>
    <w:p>
      <w:pPr>
        <w:bidi w:val="0"/>
        <w:rPr>
          <w:rFonts w:hint="eastAsia"/>
          <w:lang w:val="en-US" w:eastAsia="zh-CN"/>
        </w:rPr>
      </w:pPr>
      <w:r>
        <w:rPr>
          <w:rFonts w:hint="eastAsia"/>
          <w:lang w:val="en-US" w:eastAsia="zh-CN"/>
        </w:rPr>
        <w:t>3.因企业原因造成土地闲置一年以上且至报名日止未处罚完结的；</w:t>
      </w:r>
    </w:p>
    <w:p>
      <w:pPr>
        <w:bidi w:val="0"/>
        <w:rPr>
          <w:rFonts w:hint="eastAsia"/>
          <w:lang w:val="en-US" w:eastAsia="zh-CN"/>
        </w:rPr>
      </w:pPr>
      <w:r>
        <w:rPr>
          <w:rFonts w:hint="eastAsia"/>
          <w:lang w:val="en-US" w:eastAsia="zh-CN"/>
        </w:rPr>
        <w:t>4.开发建设企业有违背出让合同约定条件开发利用土地情形且至报名日止未处罚完结的；</w:t>
      </w:r>
    </w:p>
    <w:p>
      <w:pPr>
        <w:bidi w:val="0"/>
        <w:rPr>
          <w:rFonts w:hint="eastAsia"/>
          <w:lang w:val="en-US" w:eastAsia="zh-CN"/>
        </w:rPr>
      </w:pPr>
      <w:r>
        <w:rPr>
          <w:rFonts w:hint="eastAsia"/>
          <w:lang w:val="en-US" w:eastAsia="zh-CN"/>
        </w:rPr>
        <w:t>5.至报名日止仍拖欠政府地价款的;</w:t>
      </w:r>
    </w:p>
    <w:p>
      <w:pPr>
        <w:bidi w:val="0"/>
        <w:rPr>
          <w:rFonts w:hint="eastAsia"/>
          <w:lang w:val="en-US" w:eastAsia="zh-CN"/>
        </w:rPr>
      </w:pPr>
      <w:r>
        <w:rPr>
          <w:rFonts w:hint="eastAsia"/>
          <w:lang w:val="en-US" w:eastAsia="zh-CN"/>
        </w:rPr>
        <w:t>6.被列入问题楼盘开发企业黑名单的;</w:t>
      </w:r>
    </w:p>
    <w:p>
      <w:pPr>
        <w:bidi w:val="0"/>
        <w:rPr>
          <w:rFonts w:hint="eastAsia"/>
          <w:lang w:val="en-US" w:eastAsia="zh-CN"/>
        </w:rPr>
      </w:pPr>
      <w:r>
        <w:rPr>
          <w:rFonts w:hint="eastAsia"/>
          <w:lang w:val="en-US" w:eastAsia="zh-CN"/>
        </w:rPr>
        <w:t>7.存在其它被禁止竞买土地行为的。</w:t>
      </w:r>
    </w:p>
    <w:p>
      <w:pPr>
        <w:bidi w:val="0"/>
        <w:rPr>
          <w:rFonts w:hint="eastAsia"/>
          <w:lang w:val="en-US" w:eastAsia="zh-CN"/>
        </w:rPr>
      </w:pPr>
      <w:r>
        <w:rPr>
          <w:rFonts w:hint="eastAsia"/>
          <w:lang w:val="en-US" w:eastAsia="zh-CN"/>
        </w:rPr>
        <w:t>七、本次国有建设用地使用权网上挂牌出让为无底价挂牌出让，按照价高者得的原则确定竞得人。</w:t>
      </w:r>
    </w:p>
    <w:p>
      <w:pPr>
        <w:bidi w:val="0"/>
        <w:rPr>
          <w:rFonts w:hint="eastAsia"/>
          <w:lang w:val="en-US" w:eastAsia="zh-CN"/>
        </w:rPr>
      </w:pPr>
      <w:r>
        <w:rPr>
          <w:rFonts w:hint="eastAsia"/>
          <w:lang w:val="en-US" w:eastAsia="zh-CN"/>
        </w:rPr>
        <w:t>八、本次网上挂牌出让的详细资料和具体要求，见惠州市公共资源交易中心土地与矿业网上挂牌交易系统（https://www.hzgtjy.com/）。申请人可在网上挂牌交易系统下载挂牌出让公告、须知及相关交易文件，并按上述文件规定的操作程序在网上参加竞买。</w:t>
      </w:r>
    </w:p>
    <w:p>
      <w:pPr>
        <w:bidi w:val="0"/>
        <w:rPr>
          <w:rFonts w:hint="eastAsia"/>
          <w:lang w:val="en-US" w:eastAsia="zh-CN"/>
        </w:rPr>
      </w:pPr>
      <w:r>
        <w:rPr>
          <w:rFonts w:hint="eastAsia"/>
          <w:lang w:val="en-US" w:eastAsia="zh-CN"/>
        </w:rPr>
        <w:t>九、有意竞买者可以自行到地块现场踏勘（可在网上挂牌交易系统查阅位置图和现状图）。</w:t>
      </w:r>
    </w:p>
    <w:p>
      <w:pPr>
        <w:bidi w:val="0"/>
        <w:rPr>
          <w:rFonts w:hint="eastAsia"/>
          <w:lang w:val="en-US" w:eastAsia="zh-CN"/>
        </w:rPr>
      </w:pPr>
      <w:r>
        <w:rPr>
          <w:rFonts w:hint="eastAsia"/>
          <w:lang w:val="en-US" w:eastAsia="zh-CN"/>
        </w:rPr>
        <w:t>十、申请人应当在网上挂牌出让结束前登陆惠州市公共资源交易中心土地与矿业网上挂牌交易系统并在系统上向惠州市公共资源交易中心提交竞买申请并支付保证金。网上挂牌保证金到账截止时间为2020年1月15日上午9时止。网上挂牌报价时间截止时，经系统询问，有竞买人表示愿意继续竞价的，系统自动进入网上限时竞价程序，通过竞价确定竞得人。</w:t>
      </w:r>
    </w:p>
    <w:p>
      <w:pPr>
        <w:bidi w:val="0"/>
        <w:rPr>
          <w:rFonts w:hint="eastAsia"/>
          <w:lang w:val="en-US" w:eastAsia="zh-CN"/>
        </w:rPr>
      </w:pPr>
      <w:r>
        <w:rPr>
          <w:rFonts w:hint="eastAsia"/>
          <w:lang w:val="en-US" w:eastAsia="zh-CN"/>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bidi w:val="0"/>
        <w:rPr>
          <w:rFonts w:hint="eastAsia"/>
          <w:highlight w:val="none"/>
          <w:lang w:val="en-US" w:eastAsia="zh-CN"/>
        </w:rPr>
      </w:pPr>
      <w:r>
        <w:rPr>
          <w:rFonts w:hint="eastAsia"/>
          <w:highlight w:val="none"/>
          <w:lang w:val="en-US" w:eastAsia="zh-CN"/>
        </w:rPr>
        <w:t>十二、竞得人签订《成交确认书》后，缴交的保证金中按成交价的10%转作定金，竞得人签订《出让合同》后，定金转作土地出让价款。</w:t>
      </w:r>
    </w:p>
    <w:p>
      <w:pPr>
        <w:bidi w:val="0"/>
        <w:rPr>
          <w:rFonts w:hint="eastAsia"/>
          <w:lang w:val="en-US" w:eastAsia="zh-CN"/>
        </w:rPr>
      </w:pPr>
      <w:r>
        <w:rPr>
          <w:rFonts w:hint="eastAsia"/>
          <w:lang w:val="en-US" w:eastAsia="zh-CN"/>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bidi w:val="0"/>
        <w:rPr>
          <w:rFonts w:hint="eastAsia"/>
          <w:lang w:val="en-US" w:eastAsia="zh-CN"/>
        </w:rPr>
      </w:pPr>
      <w:r>
        <w:rPr>
          <w:rFonts w:hint="eastAsia"/>
          <w:lang w:val="en-US" w:eastAsia="zh-CN"/>
        </w:rPr>
        <w:t>保证金少于成交价10%的，不足部分由竞得人在签订《成交确认书》之日起5个工作日内付清。</w:t>
      </w:r>
    </w:p>
    <w:p>
      <w:pPr>
        <w:bidi w:val="0"/>
        <w:rPr>
          <w:rFonts w:hint="eastAsia"/>
          <w:lang w:val="en-US" w:eastAsia="zh-CN"/>
        </w:rPr>
      </w:pPr>
      <w:r>
        <w:rPr>
          <w:rFonts w:hint="eastAsia"/>
          <w:lang w:val="en-US" w:eastAsia="zh-CN"/>
        </w:rPr>
        <w:t>十三、其它需要公告的事项</w:t>
      </w:r>
    </w:p>
    <w:p>
      <w:pPr>
        <w:bidi w:val="0"/>
        <w:rPr>
          <w:rFonts w:hint="eastAsia"/>
          <w:highlight w:val="none"/>
          <w:lang w:val="en-US" w:eastAsia="zh-CN"/>
        </w:rPr>
      </w:pPr>
      <w:r>
        <w:rPr>
          <w:rFonts w:hint="eastAsia"/>
          <w:highlight w:val="none"/>
          <w:lang w:val="en-US" w:eastAsia="zh-CN"/>
        </w:rPr>
        <w:t>（一）开发投资总额不少于1600万元（含地价，不含地价溢价部分）。</w:t>
      </w:r>
    </w:p>
    <w:p>
      <w:pPr>
        <w:bidi w:val="0"/>
        <w:rPr>
          <w:rFonts w:hint="eastAsia"/>
          <w:highlight w:val="none"/>
          <w:lang w:val="en-US" w:eastAsia="zh-CN"/>
        </w:rPr>
      </w:pPr>
      <w:r>
        <w:rPr>
          <w:rFonts w:hint="eastAsia"/>
          <w:highlight w:val="none"/>
          <w:lang w:val="en-US" w:eastAsia="zh-CN"/>
        </w:rPr>
        <w:t>（二）土地成交价款须以人民币支付，竞得人须在签订《出让合同》之日起一个月内缴清土地成交价款。</w:t>
      </w:r>
    </w:p>
    <w:p>
      <w:pPr>
        <w:bidi w:val="0"/>
        <w:rPr>
          <w:rFonts w:hint="eastAsia"/>
          <w:highlight w:val="none"/>
          <w:lang w:val="en-US" w:eastAsia="zh-CN"/>
        </w:rPr>
      </w:pPr>
      <w:r>
        <w:rPr>
          <w:rFonts w:hint="eastAsia"/>
          <w:highlight w:val="none"/>
          <w:lang w:val="en-US" w:eastAsia="zh-CN"/>
        </w:rPr>
        <w:t>（三）该地权利清晰，安置补偿落实到位，没有法律经济纠纷，具备动工开发所必须的基本条件。</w:t>
      </w:r>
    </w:p>
    <w:p>
      <w:pPr>
        <w:bidi w:val="0"/>
        <w:rPr>
          <w:rFonts w:hint="eastAsia"/>
          <w:lang w:val="en-US" w:eastAsia="zh-CN"/>
        </w:rPr>
      </w:pPr>
      <w:r>
        <w:rPr>
          <w:rFonts w:hint="eastAsia"/>
          <w:b w:val="0"/>
          <w:bCs w:val="0"/>
          <w:highlight w:val="none"/>
          <w:lang w:val="en-US" w:eastAsia="zh-CN"/>
        </w:rPr>
        <w:t>（四）</w:t>
      </w:r>
      <w:r>
        <w:rPr>
          <w:rFonts w:hint="eastAsia"/>
          <w:highlight w:val="none"/>
          <w:lang w:val="en-US" w:eastAsia="zh-CN"/>
        </w:rPr>
        <w:t>竞得人有下列行为之一的，视为违约，取消</w:t>
      </w:r>
      <w:r>
        <w:rPr>
          <w:rFonts w:hint="eastAsia"/>
          <w:lang w:val="en-US" w:eastAsia="zh-CN"/>
        </w:rPr>
        <w:t>竞得人资格，没收保证金，并由有关部门依法处理；造成损失的，竞得人还应依法承担赔偿责任：</w:t>
      </w:r>
    </w:p>
    <w:p>
      <w:pPr>
        <w:bidi w:val="0"/>
        <w:rPr>
          <w:rFonts w:hint="eastAsia"/>
          <w:lang w:val="en-US" w:eastAsia="zh-CN"/>
        </w:rPr>
      </w:pPr>
      <w:r>
        <w:rPr>
          <w:rFonts w:hint="eastAsia"/>
          <w:lang w:val="en-US" w:eastAsia="zh-CN"/>
        </w:rPr>
        <w:t>1、不符合竞买资格条件的；</w:t>
      </w:r>
    </w:p>
    <w:p>
      <w:pPr>
        <w:bidi w:val="0"/>
        <w:rPr>
          <w:rFonts w:hint="eastAsia"/>
          <w:lang w:val="en-US" w:eastAsia="zh-CN"/>
        </w:rPr>
      </w:pPr>
      <w:r>
        <w:rPr>
          <w:rFonts w:hint="eastAsia"/>
          <w:lang w:val="en-US" w:eastAsia="zh-CN"/>
        </w:rPr>
        <w:t>2、采取行贿、恶意串通等非法手段竞得的；</w:t>
      </w:r>
    </w:p>
    <w:p>
      <w:pPr>
        <w:bidi w:val="0"/>
        <w:rPr>
          <w:rFonts w:hint="eastAsia"/>
          <w:lang w:val="en-US" w:eastAsia="zh-CN"/>
        </w:rPr>
      </w:pPr>
      <w:r>
        <w:rPr>
          <w:rFonts w:hint="eastAsia"/>
          <w:lang w:val="en-US" w:eastAsia="zh-CN"/>
        </w:rPr>
        <w:t>3、竞得人以其他非法手段竞得的；</w:t>
      </w:r>
    </w:p>
    <w:p>
      <w:pPr>
        <w:bidi w:val="0"/>
        <w:rPr>
          <w:rFonts w:hint="eastAsia"/>
          <w:lang w:val="en-US" w:eastAsia="zh-CN"/>
        </w:rPr>
      </w:pPr>
      <w:r>
        <w:rPr>
          <w:rFonts w:hint="eastAsia"/>
          <w:lang w:val="en-US" w:eastAsia="zh-CN"/>
        </w:rPr>
        <w:t>4、竞得人逾期或拒绝签订《成交确认书》的；</w:t>
      </w:r>
    </w:p>
    <w:p>
      <w:pPr>
        <w:bidi w:val="0"/>
        <w:rPr>
          <w:rFonts w:hint="eastAsia"/>
          <w:lang w:val="en-US" w:eastAsia="zh-CN"/>
        </w:rPr>
      </w:pPr>
      <w:r>
        <w:rPr>
          <w:rFonts w:hint="eastAsia"/>
          <w:lang w:val="en-US" w:eastAsia="zh-CN"/>
        </w:rPr>
        <w:t>5、竞得人逾期或拒绝签订《出让合同》的；</w:t>
      </w:r>
    </w:p>
    <w:p>
      <w:pPr>
        <w:bidi w:val="0"/>
        <w:rPr>
          <w:rFonts w:hint="eastAsia"/>
          <w:lang w:val="en-US" w:eastAsia="zh-CN"/>
        </w:rPr>
      </w:pPr>
      <w:r>
        <w:rPr>
          <w:rFonts w:hint="eastAsia"/>
          <w:lang w:val="en-US" w:eastAsia="zh-CN"/>
        </w:rPr>
        <w:t>6、不按本须知规定提供有关纸质文件材料，或提供虚假文件材料、隐瞒重要事实，引起交易纠纷的；</w:t>
      </w:r>
    </w:p>
    <w:p>
      <w:pPr>
        <w:bidi w:val="0"/>
        <w:rPr>
          <w:rFonts w:hint="eastAsia"/>
          <w:lang w:val="en-US" w:eastAsia="zh-CN"/>
        </w:rPr>
      </w:pPr>
      <w:r>
        <w:rPr>
          <w:rFonts w:hint="eastAsia"/>
          <w:lang w:val="en-US" w:eastAsia="zh-CN"/>
        </w:rPr>
        <w:t>7、构成违约责任的其他行为。</w:t>
      </w:r>
    </w:p>
    <w:p>
      <w:pPr>
        <w:bidi w:val="0"/>
        <w:rPr>
          <w:rFonts w:hint="eastAsia"/>
          <w:lang w:val="en-US" w:eastAsia="zh-CN"/>
        </w:rPr>
      </w:pPr>
      <w:r>
        <w:rPr>
          <w:rFonts w:hint="eastAsia"/>
          <w:lang w:val="en-US" w:eastAsia="zh-CN"/>
        </w:rPr>
        <w:t>（五）挂牌出让价款不含应由竞得人缴纳的契税、印花税等有关费用。</w:t>
      </w:r>
    </w:p>
    <w:p>
      <w:pPr>
        <w:bidi w:val="0"/>
        <w:rPr>
          <w:rFonts w:hint="eastAsia"/>
          <w:lang w:val="en-US" w:eastAsia="zh-CN"/>
        </w:rPr>
      </w:pPr>
      <w:r>
        <w:rPr>
          <w:rFonts w:hint="eastAsia"/>
          <w:lang w:val="en-US" w:eastAsia="zh-CN"/>
        </w:rPr>
        <w:t>十四、</w:t>
      </w:r>
      <w:r>
        <w:rPr>
          <w:rFonts w:hint="eastAsia" w:eastAsia="仿宋_GB2312" w:cs="Times New Roman"/>
          <w:sz w:val="32"/>
          <w:szCs w:val="32"/>
          <w:lang w:val="en-US" w:eastAsia="zh-CN"/>
        </w:rPr>
        <w:t>该宗地使用网上挂牌方式出让，交易全程适用《惠州市国有建设用地使用权和矿业权电子挂牌交易规则》（惠府〔2014〕167号）。</w:t>
      </w:r>
    </w:p>
    <w:p>
      <w:pPr>
        <w:bidi w:val="0"/>
        <w:rPr>
          <w:rFonts w:hint="eastAsia"/>
          <w:lang w:val="en-US" w:eastAsia="zh-CN"/>
        </w:rPr>
      </w:pPr>
      <w:r>
        <w:rPr>
          <w:rFonts w:hint="eastAsia"/>
          <w:lang w:val="en-US" w:eastAsia="zh-CN"/>
        </w:rPr>
        <w:t>十五、联系方式：</w:t>
      </w:r>
    </w:p>
    <w:p>
      <w:pPr>
        <w:bidi w:val="0"/>
        <w:rPr>
          <w:rFonts w:hint="eastAsia"/>
          <w:lang w:val="en-US" w:eastAsia="zh-CN"/>
        </w:rPr>
      </w:pPr>
      <w:r>
        <w:rPr>
          <w:rFonts w:hint="eastAsia"/>
          <w:lang w:val="en-US" w:eastAsia="zh-CN"/>
        </w:rPr>
        <w:t>联系地址：广东省惠州市江北文华一路2号大隆大厦6楼</w:t>
      </w:r>
    </w:p>
    <w:p>
      <w:pPr>
        <w:bidi w:val="0"/>
        <w:rPr>
          <w:rFonts w:hint="eastAsia"/>
          <w:lang w:val="en-US" w:eastAsia="zh-CN"/>
        </w:rPr>
      </w:pPr>
      <w:r>
        <w:rPr>
          <w:rFonts w:hint="eastAsia"/>
          <w:lang w:val="en-US" w:eastAsia="zh-CN"/>
        </w:rPr>
        <w:t>联系人：</w:t>
      </w:r>
      <w:r>
        <w:rPr>
          <w:rFonts w:hint="default" w:ascii="Times New Roman" w:hAnsi="Times New Roman" w:eastAsia="仿宋_GB2312" w:cs="Times New Roman"/>
          <w:sz w:val="32"/>
          <w:szCs w:val="32"/>
        </w:rPr>
        <w:t>袁小姐、黄小姐</w:t>
      </w:r>
    </w:p>
    <w:p>
      <w:pPr>
        <w:bidi w:val="0"/>
        <w:rPr>
          <w:rFonts w:hint="eastAsia"/>
          <w:lang w:val="en-US" w:eastAsia="zh-CN"/>
        </w:rPr>
      </w:pPr>
      <w:r>
        <w:rPr>
          <w:rFonts w:hint="eastAsia"/>
          <w:lang w:val="en-US" w:eastAsia="zh-CN"/>
        </w:rPr>
        <w:t>联系电话：</w:t>
      </w:r>
      <w:r>
        <w:rPr>
          <w:rFonts w:hint="eastAsia" w:ascii="仿宋_GB2312" w:hAnsi="仿宋_GB2312" w:eastAsia="仿宋_GB2312" w:cs="仿宋_GB2312"/>
          <w:sz w:val="32"/>
          <w:szCs w:val="32"/>
        </w:rPr>
        <w:t>（0752）</w:t>
      </w:r>
      <w:r>
        <w:rPr>
          <w:rFonts w:hint="eastAsia" w:ascii="仿宋_GB2312" w:hAnsi="仿宋_GB2312" w:eastAsia="仿宋_GB2312" w:cs="仿宋_GB2312"/>
          <w:sz w:val="32"/>
          <w:szCs w:val="32"/>
          <w:lang w:val="en-US" w:eastAsia="zh-CN"/>
        </w:rPr>
        <w:t>7121026、712104</w:t>
      </w:r>
    </w:p>
    <w:p>
      <w:pPr>
        <w:bidi w:val="0"/>
        <w:rPr>
          <w:rFonts w:hint="eastAsia"/>
          <w:lang w:val="en-US" w:eastAsia="zh-CN"/>
        </w:rPr>
      </w:pPr>
      <w:r>
        <w:rPr>
          <w:rFonts w:hint="eastAsia"/>
          <w:lang w:val="en-US" w:eastAsia="zh-CN"/>
        </w:rPr>
        <w:t>注：本公告同时在下列网站及场所发布</w:t>
      </w:r>
    </w:p>
    <w:p>
      <w:pPr>
        <w:bidi w:val="0"/>
        <w:rPr>
          <w:rFonts w:hint="eastAsia"/>
          <w:lang w:val="en-US" w:eastAsia="zh-CN"/>
        </w:rPr>
      </w:pPr>
      <w:r>
        <w:rPr>
          <w:rFonts w:hint="eastAsia"/>
          <w:lang w:val="en-US" w:eastAsia="zh-CN"/>
        </w:rPr>
        <w:t>中国土地市场网：http://www.landchina.com</w:t>
      </w:r>
    </w:p>
    <w:p>
      <w:pPr>
        <w:bidi w:val="0"/>
        <w:rPr>
          <w:rFonts w:hint="eastAsia"/>
          <w:lang w:val="en-US" w:eastAsia="zh-CN"/>
        </w:rPr>
      </w:pPr>
      <w:r>
        <w:rPr>
          <w:rFonts w:hint="eastAsia"/>
          <w:lang w:val="en-US" w:eastAsia="zh-CN"/>
        </w:rPr>
        <w:t>广东省土地市场网：http://www.landgd.com</w:t>
      </w:r>
    </w:p>
    <w:p>
      <w:pPr>
        <w:bidi w:val="0"/>
        <w:rPr>
          <w:rFonts w:hint="eastAsia"/>
          <w:lang w:val="en-US" w:eastAsia="zh-CN"/>
        </w:rPr>
      </w:pPr>
      <w:r>
        <w:rPr>
          <w:rFonts w:hint="eastAsia"/>
          <w:lang w:val="en-US" w:eastAsia="zh-CN"/>
        </w:rPr>
        <w:t>惠州市自然资源局网站：http://land.huizhou.gov.cn</w:t>
      </w:r>
    </w:p>
    <w:p>
      <w:pPr>
        <w:bidi w:val="0"/>
        <w:rPr>
          <w:rFonts w:hint="eastAsia"/>
          <w:lang w:val="en-US" w:eastAsia="zh-CN"/>
        </w:rPr>
      </w:pPr>
      <w:r>
        <w:rPr>
          <w:rFonts w:hint="eastAsia"/>
          <w:lang w:val="en-US" w:eastAsia="zh-CN"/>
        </w:rPr>
        <w:t>惠州市公共资源交易中心网：http://zyjy.huizhou.gov.cn</w:t>
      </w:r>
    </w:p>
    <w:p>
      <w:pPr>
        <w:bidi w:val="0"/>
        <w:rPr>
          <w:rFonts w:hint="eastAsia"/>
          <w:lang w:val="en-US" w:eastAsia="zh-CN"/>
        </w:rPr>
      </w:pPr>
      <w:r>
        <w:rPr>
          <w:rFonts w:hint="eastAsia"/>
          <w:lang w:val="en-US" w:eastAsia="zh-CN"/>
        </w:rPr>
        <w:t>惠州市公共资源交易中心交易大厅现场</w:t>
      </w:r>
    </w:p>
    <w:p>
      <w:pPr>
        <w:bidi w:val="0"/>
        <w:rPr>
          <w:rFonts w:hint="eastAsia"/>
          <w:lang w:val="en-US" w:eastAsia="zh-CN"/>
        </w:rPr>
      </w:pPr>
      <w:r>
        <w:rPr>
          <w:rFonts w:hint="eastAsia"/>
          <w:lang w:val="en-US" w:eastAsia="zh-CN"/>
        </w:rPr>
        <w:t>数字证书办理地址：惠州市江北云山西路二号帝景国际商务中心七层18-22房</w:t>
      </w:r>
    </w:p>
    <w:p>
      <w:pPr>
        <w:bidi w:val="0"/>
        <w:rPr>
          <w:rFonts w:hint="eastAsia"/>
          <w:lang w:val="en-US" w:eastAsia="zh-CN"/>
        </w:rPr>
      </w:pPr>
      <w:r>
        <w:rPr>
          <w:rFonts w:hint="eastAsia"/>
          <w:lang w:val="en-US" w:eastAsia="zh-CN"/>
        </w:rPr>
        <w:t>联系电话：0752-2898481</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right="1224" w:rightChars="400" w:firstLine="0" w:firstLineChars="0"/>
        <w:jc w:val="right"/>
        <w:textAlignment w:val="auto"/>
        <w:rPr>
          <w:rFonts w:hint="eastAsia"/>
          <w:lang w:val="en-US" w:eastAsia="zh-CN"/>
        </w:rPr>
      </w:pPr>
      <w:r>
        <w:rPr>
          <w:rFonts w:hint="eastAsia"/>
          <w:lang w:val="en-US" w:eastAsia="zh-CN"/>
        </w:rPr>
        <w:t>惠州市自然资源局</w:t>
      </w:r>
    </w:p>
    <w:p>
      <w:pPr>
        <w:wordWrap w:val="0"/>
        <w:bidi w:val="0"/>
        <w:jc w:val="right"/>
        <w:rPr>
          <w:rFonts w:hint="default"/>
          <w:lang w:val="en-US" w:eastAsia="zh-CN"/>
        </w:rPr>
      </w:pPr>
      <w:r>
        <w:rPr>
          <w:rFonts w:hint="eastAsia"/>
          <w:lang w:val="en-US" w:eastAsia="zh-CN"/>
        </w:rPr>
        <w:t xml:space="preserve">惠州市公共资源交易中心     </w:t>
      </w:r>
    </w:p>
    <w:p>
      <w:pPr>
        <w:bidi w:val="0"/>
        <w:ind w:left="0" w:leftChars="0" w:firstLine="0" w:firstLineChars="0"/>
        <w:jc w:val="center"/>
        <w:rPr>
          <w:rFonts w:hint="eastAsia"/>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2020年12月</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lang w:val="en-US" w:eastAsia="zh-CN"/>
        </w:rPr>
        <w:t>日</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eastAsia="zh-CN"/>
        </w:rPr>
      </w:pPr>
    </w:p>
    <w:p>
      <w:pPr>
        <w:keepNext w:val="0"/>
        <w:keepLines w:val="0"/>
        <w:pageBreakBefore w:val="0"/>
        <w:widowControl w:val="0"/>
        <w:tabs>
          <w:tab w:val="left" w:pos="9720"/>
        </w:tabs>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9"/>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544"/>
        <w:gridCol w:w="732"/>
        <w:gridCol w:w="624"/>
        <w:gridCol w:w="924"/>
        <w:gridCol w:w="948"/>
        <w:gridCol w:w="720"/>
        <w:gridCol w:w="672"/>
        <w:gridCol w:w="1650"/>
        <w:gridCol w:w="948"/>
        <w:gridCol w:w="780"/>
        <w:gridCol w:w="96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530" w:type="dxa"/>
            <w:vMerge w:val="restart"/>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挂牌地块编号</w:t>
            </w:r>
          </w:p>
        </w:tc>
        <w:tc>
          <w:tcPr>
            <w:tcW w:w="544" w:type="dxa"/>
            <w:vMerge w:val="restart"/>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土地</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位置</w:t>
            </w:r>
          </w:p>
        </w:tc>
        <w:tc>
          <w:tcPr>
            <w:tcW w:w="732" w:type="dxa"/>
            <w:vMerge w:val="restart"/>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规划编号</w:t>
            </w:r>
          </w:p>
        </w:tc>
        <w:tc>
          <w:tcPr>
            <w:tcW w:w="624" w:type="dxa"/>
            <w:vMerge w:val="restart"/>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土地</w:t>
            </w:r>
          </w:p>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用途</w:t>
            </w:r>
          </w:p>
        </w:tc>
        <w:tc>
          <w:tcPr>
            <w:tcW w:w="924" w:type="dxa"/>
            <w:vMerge w:val="restart"/>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cs="仿宋_GB2312"/>
                <w:b/>
                <w:bCs/>
                <w:sz w:val="22"/>
                <w:szCs w:val="16"/>
                <w:lang w:eastAsia="zh-CN"/>
              </w:rPr>
              <w:t>地下室</w:t>
            </w:r>
            <w:r>
              <w:rPr>
                <w:rFonts w:hint="eastAsia" w:ascii="仿宋_GB2312" w:hAnsi="仿宋_GB2312" w:eastAsia="仿宋_GB2312" w:cs="仿宋_GB2312"/>
                <w:b/>
                <w:bCs/>
                <w:sz w:val="22"/>
                <w:szCs w:val="16"/>
              </w:rPr>
              <w:t>宗地</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使用权面积（㎡）</w:t>
            </w:r>
          </w:p>
        </w:tc>
        <w:tc>
          <w:tcPr>
            <w:tcW w:w="6678" w:type="dxa"/>
            <w:gridSpan w:val="7"/>
            <w:vAlign w:val="center"/>
          </w:tcPr>
          <w:p>
            <w:pPr>
              <w:keepNext w:val="0"/>
              <w:keepLines w:val="0"/>
              <w:pageBreakBefore w:val="0"/>
              <w:widowControl w:val="0"/>
              <w:kinsoku/>
              <w:wordWrap/>
              <w:overflowPunct/>
              <w:topLinePunct w:val="0"/>
              <w:bidi w:val="0"/>
              <w:adjustRightInd w:val="0"/>
              <w:snapToGrid w:val="0"/>
              <w:spacing w:line="240" w:lineRule="exact"/>
              <w:ind w:left="-272" w:leftChars="-89"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规划指标要求</w:t>
            </w:r>
          </w:p>
        </w:tc>
        <w:tc>
          <w:tcPr>
            <w:tcW w:w="948" w:type="dxa"/>
            <w:vMerge w:val="restart"/>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出让</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530"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544"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732"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624"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924" w:type="dxa"/>
            <w:vMerge w:val="continue"/>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bCs/>
                <w:sz w:val="22"/>
                <w:szCs w:val="22"/>
              </w:rPr>
            </w:pPr>
          </w:p>
        </w:tc>
        <w:tc>
          <w:tcPr>
            <w:tcW w:w="948"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计算</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指标</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用地</w:t>
            </w:r>
          </w:p>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面积（㎡）</w:t>
            </w:r>
          </w:p>
        </w:tc>
        <w:tc>
          <w:tcPr>
            <w:tcW w:w="720"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建筑密度</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w:t>
            </w:r>
          </w:p>
        </w:tc>
        <w:tc>
          <w:tcPr>
            <w:tcW w:w="672"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容</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积</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率</w:t>
            </w:r>
          </w:p>
        </w:tc>
        <w:tc>
          <w:tcPr>
            <w:tcW w:w="1650" w:type="dxa"/>
            <w:vAlign w:val="center"/>
          </w:tcPr>
          <w:p>
            <w:pPr>
              <w:keepNext w:val="0"/>
              <w:keepLines w:val="0"/>
              <w:pageBreakBefore w:val="0"/>
              <w:widowControl w:val="0"/>
              <w:kinsoku/>
              <w:wordWrap/>
              <w:overflowPunct/>
              <w:topLinePunct w:val="0"/>
              <w:bidi w:val="0"/>
              <w:spacing w:line="240" w:lineRule="exact"/>
              <w:ind w:left="44" w:right="-76" w:rightChars="-25"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计容积率建筑面积（㎡）</w:t>
            </w:r>
          </w:p>
        </w:tc>
        <w:tc>
          <w:tcPr>
            <w:tcW w:w="948"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16"/>
              </w:rPr>
              <w:t>机动车停车位配建标准</w:t>
            </w:r>
          </w:p>
        </w:tc>
        <w:tc>
          <w:tcPr>
            <w:tcW w:w="780" w:type="dxa"/>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绿地率</w:t>
            </w:r>
          </w:p>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16"/>
              </w:rPr>
            </w:pPr>
            <w:r>
              <w:rPr>
                <w:rFonts w:hint="eastAsia" w:ascii="仿宋_GB2312" w:hAnsi="仿宋_GB2312" w:eastAsia="仿宋_GB2312" w:cs="仿宋_GB2312"/>
                <w:b/>
                <w:bCs/>
                <w:sz w:val="22"/>
                <w:szCs w:val="16"/>
              </w:rPr>
              <w:t>（％）</w:t>
            </w:r>
          </w:p>
        </w:tc>
        <w:tc>
          <w:tcPr>
            <w:tcW w:w="960" w:type="dxa"/>
            <w:vAlign w:val="center"/>
          </w:tcPr>
          <w:p>
            <w:pPr>
              <w:keepNext w:val="0"/>
              <w:keepLines w:val="0"/>
              <w:pageBreakBefore w:val="0"/>
              <w:widowControl w:val="0"/>
              <w:kinsoku/>
              <w:wordWrap/>
              <w:overflowPunct/>
              <w:topLinePunct w:val="0"/>
              <w:bidi w:val="0"/>
              <w:spacing w:line="240" w:lineRule="exact"/>
              <w:ind w:left="44" w:right="-76" w:rightChars="-25" w:firstLine="0" w:firstLineChars="0"/>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16"/>
              </w:rPr>
              <w:t>适建性</w:t>
            </w:r>
          </w:p>
        </w:tc>
        <w:tc>
          <w:tcPr>
            <w:tcW w:w="948"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40" w:lineRule="exact"/>
              <w:ind w:firstLine="0" w:firstLineChars="0"/>
              <w:jc w:val="center"/>
              <w:textAlignment w:val="auto"/>
              <w:rPr>
                <w:rFonts w:hint="eastAsia" w:ascii="仿宋_GB2312" w:hAnsi="仿宋_GB2312" w:eastAsia="仿宋_GB2312" w:cs="仿宋_GB2312"/>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5" w:hRule="atLeast"/>
          <w:jc w:val="center"/>
        </w:trPr>
        <w:tc>
          <w:tcPr>
            <w:tcW w:w="530" w:type="dxa"/>
            <w:tcMar>
              <w:left w:w="0" w:type="dxa"/>
              <w:right w:w="0" w:type="dxa"/>
            </w:tcMar>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default" w:ascii="仿宋_GB2312" w:hAnsi="仿宋_GB2312" w:eastAsia="仿宋_GB2312" w:cs="仿宋_GB2312"/>
                <w:b w:val="0"/>
                <w:bCs w:val="0"/>
                <w:sz w:val="22"/>
                <w:szCs w:val="16"/>
                <w:lang w:val="en-US"/>
              </w:rPr>
            </w:pPr>
            <w:r>
              <w:rPr>
                <w:rFonts w:hint="eastAsia" w:ascii="仿宋_GB2312" w:hAnsi="仿宋_GB2312" w:eastAsia="仿宋_GB2312" w:cs="仿宋_GB2312"/>
                <w:b w:val="0"/>
                <w:bCs w:val="0"/>
                <w:sz w:val="22"/>
                <w:szCs w:val="16"/>
              </w:rPr>
              <w:t>GP20</w:t>
            </w:r>
            <w:r>
              <w:rPr>
                <w:rFonts w:hint="eastAsia" w:ascii="仿宋_GB2312" w:hAnsi="仿宋_GB2312" w:eastAsia="仿宋_GB2312" w:cs="仿宋_GB2312"/>
                <w:b w:val="0"/>
                <w:bCs w:val="0"/>
                <w:sz w:val="22"/>
                <w:szCs w:val="16"/>
                <w:lang w:val="en-US" w:eastAsia="zh-CN"/>
              </w:rPr>
              <w:t>20</w:t>
            </w:r>
            <w:r>
              <w:rPr>
                <w:rFonts w:hint="eastAsia" w:ascii="仿宋_GB2312" w:hAnsi="仿宋_GB2312" w:eastAsia="仿宋_GB2312" w:cs="仿宋_GB2312"/>
                <w:b w:val="0"/>
                <w:bCs w:val="0"/>
                <w:sz w:val="22"/>
                <w:szCs w:val="16"/>
              </w:rPr>
              <w:t>-</w:t>
            </w:r>
            <w:r>
              <w:rPr>
                <w:rFonts w:hint="eastAsia" w:ascii="仿宋_GB2312" w:hAnsi="仿宋_GB2312" w:cs="仿宋_GB2312"/>
                <w:b w:val="0"/>
                <w:bCs w:val="0"/>
                <w:sz w:val="22"/>
                <w:szCs w:val="16"/>
                <w:lang w:val="en-US" w:eastAsia="zh-CN"/>
              </w:rPr>
              <w:t>53</w:t>
            </w:r>
            <w:bookmarkStart w:id="0" w:name="_GoBack"/>
            <w:bookmarkEnd w:id="0"/>
          </w:p>
        </w:tc>
        <w:tc>
          <w:tcPr>
            <w:tcW w:w="544"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lang w:eastAsia="zh-CN"/>
              </w:rPr>
            </w:pPr>
            <w:r>
              <w:rPr>
                <w:rFonts w:hint="eastAsia" w:ascii="仿宋_GB2312" w:hAnsi="仿宋_GB2312" w:cs="仿宋_GB2312"/>
                <w:b w:val="0"/>
                <w:bCs w:val="0"/>
                <w:sz w:val="22"/>
                <w:szCs w:val="16"/>
                <w:lang w:val="en-US" w:eastAsia="zh-CN"/>
              </w:rPr>
              <w:t>惠州市惠城区</w:t>
            </w:r>
            <w:r>
              <w:rPr>
                <w:rFonts w:hint="eastAsia" w:ascii="仿宋_GB2312" w:hAnsi="仿宋_GB2312" w:cs="仿宋_GB2312"/>
                <w:b w:val="0"/>
                <w:bCs w:val="0"/>
                <w:sz w:val="22"/>
                <w:szCs w:val="16"/>
                <w:lang w:eastAsia="zh-CN"/>
              </w:rPr>
              <w:t>菱湖</w:t>
            </w:r>
          </w:p>
        </w:tc>
        <w:tc>
          <w:tcPr>
            <w:tcW w:w="732"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default" w:ascii="仿宋_GB2312" w:hAnsi="仿宋_GB2312" w:eastAsia="仿宋_GB2312" w:cs="仿宋_GB2312"/>
                <w:b w:val="0"/>
                <w:bCs w:val="0"/>
                <w:sz w:val="22"/>
                <w:szCs w:val="16"/>
                <w:lang w:val="en-US" w:eastAsia="zh-CN"/>
              </w:rPr>
            </w:pPr>
            <w:r>
              <w:rPr>
                <w:rFonts w:hint="eastAsia" w:ascii="仿宋_GB2312" w:hAnsi="仿宋_GB2312" w:cs="仿宋_GB2312"/>
                <w:b w:val="0"/>
                <w:bCs w:val="0"/>
                <w:sz w:val="22"/>
                <w:szCs w:val="16"/>
                <w:lang w:val="en-US" w:eastAsia="zh-CN"/>
              </w:rPr>
              <w:t>LH-01</w:t>
            </w:r>
          </w:p>
        </w:tc>
        <w:tc>
          <w:tcPr>
            <w:tcW w:w="624" w:type="dxa"/>
            <w:tcMar>
              <w:left w:w="0" w:type="dxa"/>
              <w:right w:w="0" w:type="dxa"/>
            </w:tcMar>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eastAsia" w:ascii="仿宋_GB2312" w:hAnsi="仿宋_GB2312" w:eastAsia="仿宋_GB2312" w:cs="仿宋_GB2312"/>
                <w:b w:val="0"/>
                <w:bCs w:val="0"/>
                <w:sz w:val="22"/>
                <w:szCs w:val="16"/>
                <w:lang w:eastAsia="zh-CN"/>
              </w:rPr>
            </w:pPr>
            <w:r>
              <w:rPr>
                <w:rFonts w:hint="eastAsia" w:ascii="仿宋_GB2312" w:hAnsi="仿宋_GB2312" w:cs="仿宋_GB2312"/>
                <w:b w:val="0"/>
                <w:bCs w:val="0"/>
                <w:sz w:val="22"/>
                <w:szCs w:val="16"/>
                <w:lang w:eastAsia="zh-CN"/>
              </w:rPr>
              <w:t>交通服务场站用地（地下空间）</w:t>
            </w:r>
          </w:p>
        </w:tc>
        <w:tc>
          <w:tcPr>
            <w:tcW w:w="924"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default" w:ascii="仿宋_GB2312" w:hAnsi="仿宋_GB2312" w:eastAsia="仿宋_GB2312" w:cs="仿宋_GB2312"/>
                <w:b w:val="0"/>
                <w:bCs w:val="0"/>
                <w:sz w:val="22"/>
                <w:szCs w:val="16"/>
                <w:lang w:val="en-US" w:eastAsia="zh-CN"/>
              </w:rPr>
            </w:pPr>
            <w:r>
              <w:rPr>
                <w:rFonts w:hint="eastAsia" w:ascii="仿宋_GB2312" w:hAnsi="仿宋_GB2312" w:cs="仿宋_GB2312"/>
                <w:b w:val="0"/>
                <w:bCs w:val="0"/>
                <w:sz w:val="22"/>
                <w:szCs w:val="16"/>
                <w:lang w:val="en-US" w:eastAsia="zh-CN"/>
              </w:rPr>
              <w:t>2057.87</w:t>
            </w:r>
          </w:p>
        </w:tc>
        <w:tc>
          <w:tcPr>
            <w:tcW w:w="948" w:type="dxa"/>
            <w:vAlign w:val="center"/>
          </w:tcPr>
          <w:p>
            <w:pPr>
              <w:keepNext w:val="0"/>
              <w:keepLines w:val="0"/>
              <w:pageBreakBefore w:val="0"/>
              <w:widowControl w:val="0"/>
              <w:kinsoku/>
              <w:wordWrap/>
              <w:overflowPunct/>
              <w:topLinePunct w:val="0"/>
              <w:bidi w:val="0"/>
              <w:spacing w:line="240" w:lineRule="exact"/>
              <w:ind w:firstLine="0" w:firstLineChars="0"/>
              <w:jc w:val="center"/>
              <w:textAlignment w:val="auto"/>
              <w:rPr>
                <w:rFonts w:hint="default" w:ascii="仿宋_GB2312" w:hAnsi="仿宋_GB2312" w:eastAsia="仿宋_GB2312" w:cs="仿宋_GB2312"/>
                <w:b w:val="0"/>
                <w:bCs w:val="0"/>
                <w:sz w:val="22"/>
                <w:szCs w:val="16"/>
                <w:lang w:val="en-US" w:eastAsia="zh-CN"/>
              </w:rPr>
            </w:pPr>
            <w:r>
              <w:rPr>
                <w:rFonts w:hint="eastAsia" w:ascii="仿宋_GB2312" w:hAnsi="仿宋_GB2312" w:cs="仿宋_GB2312"/>
                <w:b w:val="0"/>
                <w:bCs w:val="0"/>
                <w:sz w:val="22"/>
                <w:szCs w:val="16"/>
                <w:lang w:val="en-US" w:eastAsia="zh-CN"/>
              </w:rPr>
              <w:t>/</w:t>
            </w:r>
          </w:p>
        </w:tc>
        <w:tc>
          <w:tcPr>
            <w:tcW w:w="720"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w:t>
            </w:r>
            <w:r>
              <w:rPr>
                <w:rFonts w:hint="eastAsia" w:ascii="仿宋_GB2312" w:hAnsi="仿宋_GB2312" w:cs="仿宋_GB2312"/>
                <w:b w:val="0"/>
                <w:bCs w:val="0"/>
                <w:sz w:val="22"/>
                <w:szCs w:val="16"/>
                <w:lang w:val="en-US" w:eastAsia="zh-CN"/>
              </w:rPr>
              <w:t>15</w:t>
            </w:r>
          </w:p>
        </w:tc>
        <w:tc>
          <w:tcPr>
            <w:tcW w:w="672"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default" w:ascii="仿宋_GB2312" w:hAnsi="仿宋_GB2312" w:eastAsia="仿宋_GB2312" w:cs="仿宋_GB2312"/>
                <w:b w:val="0"/>
                <w:bCs w:val="0"/>
                <w:sz w:val="22"/>
                <w:szCs w:val="16"/>
                <w:lang w:val="en-US" w:eastAsia="zh-CN"/>
              </w:rPr>
            </w:pPr>
            <w:r>
              <w:rPr>
                <w:rFonts w:hint="eastAsia" w:ascii="仿宋_GB2312" w:hAnsi="仿宋_GB2312" w:cs="仿宋_GB2312"/>
                <w:b w:val="0"/>
                <w:bCs w:val="0"/>
                <w:sz w:val="22"/>
                <w:szCs w:val="16"/>
                <w:lang w:val="en-US" w:eastAsia="zh-CN"/>
              </w:rPr>
              <w:t>＜0.15</w:t>
            </w:r>
          </w:p>
        </w:tc>
        <w:tc>
          <w:tcPr>
            <w:tcW w:w="1650"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cs="仿宋_GB2312"/>
                <w:b w:val="0"/>
                <w:bCs w:val="0"/>
                <w:color w:val="000000"/>
                <w:sz w:val="22"/>
                <w:szCs w:val="16"/>
                <w:lang w:val="en-US" w:eastAsia="zh-CN"/>
              </w:rPr>
            </w:pPr>
            <w:r>
              <w:rPr>
                <w:rFonts w:hint="eastAsia" w:ascii="仿宋_GB2312" w:hAnsi="仿宋_GB2312" w:eastAsia="仿宋_GB2312" w:cs="仿宋_GB2312"/>
                <w:b w:val="0"/>
                <w:bCs w:val="0"/>
                <w:color w:val="000000"/>
                <w:sz w:val="22"/>
                <w:szCs w:val="16"/>
              </w:rPr>
              <w:t>≤</w:t>
            </w:r>
            <w:r>
              <w:rPr>
                <w:rFonts w:hint="eastAsia" w:ascii="仿宋_GB2312" w:hAnsi="仿宋_GB2312" w:cs="仿宋_GB2312"/>
                <w:b w:val="0"/>
                <w:bCs w:val="0"/>
                <w:color w:val="000000"/>
                <w:sz w:val="22"/>
                <w:szCs w:val="16"/>
                <w:lang w:val="en-US" w:eastAsia="zh-CN"/>
              </w:rPr>
              <w:t>290</w:t>
            </w:r>
          </w:p>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cs="仿宋_GB2312"/>
                <w:b w:val="0"/>
                <w:bCs w:val="0"/>
                <w:color w:val="000000"/>
                <w:sz w:val="22"/>
                <w:szCs w:val="16"/>
                <w:lang w:val="en-US" w:eastAsia="zh-CN"/>
              </w:rPr>
            </w:pPr>
            <w:r>
              <w:rPr>
                <w:rFonts w:hint="eastAsia" w:ascii="仿宋_GB2312" w:hAnsi="仿宋_GB2312" w:cs="仿宋_GB2312"/>
                <w:b w:val="0"/>
                <w:bCs w:val="0"/>
                <w:color w:val="000000"/>
                <w:sz w:val="22"/>
                <w:szCs w:val="16"/>
                <w:lang w:val="en-US" w:eastAsia="zh-CN"/>
              </w:rPr>
              <w:t>（其中停车库≤120、设备用房≤140、消防控制室≤30）</w:t>
            </w:r>
          </w:p>
        </w:tc>
        <w:tc>
          <w:tcPr>
            <w:tcW w:w="948" w:type="dxa"/>
            <w:vAlign w:val="center"/>
          </w:tcPr>
          <w:p>
            <w:pPr>
              <w:keepNext w:val="0"/>
              <w:keepLines w:val="0"/>
              <w:pageBreakBefore w:val="0"/>
              <w:widowControl w:val="0"/>
              <w:kinsoku/>
              <w:wordWrap/>
              <w:overflowPunct/>
              <w:topLinePunct w:val="0"/>
              <w:bidi w:val="0"/>
              <w:adjustRightInd w:val="0"/>
              <w:snapToGrid w:val="0"/>
              <w:spacing w:line="240" w:lineRule="exact"/>
              <w:ind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地下机械式立体停车库≥130</w:t>
            </w:r>
          </w:p>
        </w:tc>
        <w:tc>
          <w:tcPr>
            <w:tcW w:w="780" w:type="dxa"/>
            <w:vAlign w:val="center"/>
          </w:tcPr>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default" w:ascii="仿宋_GB2312" w:hAnsi="仿宋_GB2312" w:eastAsia="仿宋_GB2312" w:cs="仿宋_GB2312"/>
                <w:b w:val="0"/>
                <w:bCs w:val="0"/>
                <w:sz w:val="22"/>
                <w:szCs w:val="16"/>
                <w:lang w:val="en-US" w:eastAsia="zh-CN"/>
              </w:rPr>
            </w:pPr>
            <w:r>
              <w:rPr>
                <w:rFonts w:hint="eastAsia" w:ascii="仿宋_GB2312" w:hAnsi="仿宋_GB2312" w:eastAsia="仿宋_GB2312" w:cs="仿宋_GB2312"/>
                <w:b w:val="0"/>
                <w:bCs w:val="0"/>
                <w:color w:val="000000"/>
                <w:sz w:val="22"/>
                <w:szCs w:val="16"/>
              </w:rPr>
              <w:t>≥</w:t>
            </w:r>
            <w:r>
              <w:rPr>
                <w:rFonts w:hint="eastAsia" w:ascii="仿宋_GB2312" w:hAnsi="仿宋_GB2312" w:cs="仿宋_GB2312"/>
                <w:b w:val="0"/>
                <w:bCs w:val="0"/>
                <w:color w:val="000000"/>
                <w:sz w:val="22"/>
                <w:szCs w:val="16"/>
                <w:lang w:val="en-US" w:eastAsia="zh-CN"/>
              </w:rPr>
              <w:t>65</w:t>
            </w:r>
          </w:p>
        </w:tc>
        <w:tc>
          <w:tcPr>
            <w:tcW w:w="960" w:type="dxa"/>
            <w:vAlign w:val="center"/>
          </w:tcPr>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sz w:val="22"/>
                <w:szCs w:val="16"/>
              </w:rPr>
            </w:pPr>
            <w:r>
              <w:rPr>
                <w:rFonts w:hint="eastAsia" w:ascii="仿宋_GB2312" w:hAnsi="仿宋_GB2312" w:eastAsia="仿宋_GB2312" w:cs="仿宋_GB2312"/>
                <w:b w:val="0"/>
                <w:bCs w:val="0"/>
                <w:sz w:val="22"/>
                <w:szCs w:val="16"/>
              </w:rPr>
              <w:t>公园及地下停车库</w:t>
            </w:r>
          </w:p>
        </w:tc>
        <w:tc>
          <w:tcPr>
            <w:tcW w:w="948" w:type="dxa"/>
            <w:vAlign w:val="center"/>
          </w:tcPr>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交通服务</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场站用地</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50年</w:t>
            </w:r>
          </w:p>
          <w:p>
            <w:pPr>
              <w:keepNext w:val="0"/>
              <w:keepLines w:val="0"/>
              <w:pageBreakBefore w:val="0"/>
              <w:widowControl w:val="0"/>
              <w:kinsoku/>
              <w:wordWrap/>
              <w:overflowPunct/>
              <w:topLinePunct w:val="0"/>
              <w:bidi w:val="0"/>
              <w:spacing w:line="240" w:lineRule="exact"/>
              <w:ind w:leftChars="-51" w:right="-171" w:rightChars="-56" w:firstLine="0" w:firstLineChars="0"/>
              <w:jc w:val="center"/>
              <w:textAlignment w:val="auto"/>
              <w:rPr>
                <w:rFonts w:hint="eastAsia" w:ascii="仿宋_GB2312" w:hAnsi="仿宋_GB2312" w:eastAsia="仿宋_GB2312" w:cs="仿宋_GB2312"/>
                <w:b w:val="0"/>
                <w:bCs w:val="0"/>
                <w:color w:val="000000"/>
                <w:sz w:val="22"/>
                <w:szCs w:val="16"/>
              </w:rPr>
            </w:pPr>
            <w:r>
              <w:rPr>
                <w:rFonts w:hint="eastAsia" w:ascii="仿宋_GB2312" w:hAnsi="仿宋_GB2312" w:eastAsia="仿宋_GB2312" w:cs="仿宋_GB2312"/>
                <w:b w:val="0"/>
                <w:bCs w:val="0"/>
                <w:color w:val="000000"/>
                <w:sz w:val="22"/>
                <w:szCs w:val="16"/>
              </w:rPr>
              <w:t>（地下空间）</w:t>
            </w: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eastAsia="zh-CN"/>
        </w:rPr>
      </w:pPr>
    </w:p>
    <w:sectPr>
      <w:footerReference r:id="rId3" w:type="default"/>
      <w:pgSz w:w="11906" w:h="16838"/>
      <w:pgMar w:top="1440" w:right="1474" w:bottom="1440" w:left="1587" w:header="851" w:footer="737" w:gutter="0"/>
      <w:pgNumType w:fmt="numberInDash"/>
      <w:cols w:space="0" w:num="1"/>
      <w:rtlGutter w:val="0"/>
      <w:docGrid w:type="linesAndChars" w:linePitch="436"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ind w:left="0" w:leftChars="0" w:firstLine="0" w:firstLineChars="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方正小标宋_GBK" w:eastAsia="方正小标宋_GBK" w:cs="方正小标宋_GBK"/>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HorizontalSpacing w:val="153"/>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72301"/>
    <w:rsid w:val="00C60885"/>
    <w:rsid w:val="018568A4"/>
    <w:rsid w:val="01BD4869"/>
    <w:rsid w:val="02766ADB"/>
    <w:rsid w:val="03212254"/>
    <w:rsid w:val="03627F64"/>
    <w:rsid w:val="03882E7C"/>
    <w:rsid w:val="03D45BC1"/>
    <w:rsid w:val="04075C58"/>
    <w:rsid w:val="04D43625"/>
    <w:rsid w:val="06BC2A67"/>
    <w:rsid w:val="07206541"/>
    <w:rsid w:val="09601526"/>
    <w:rsid w:val="0BF567C8"/>
    <w:rsid w:val="0D2464B5"/>
    <w:rsid w:val="0D893286"/>
    <w:rsid w:val="11174FF7"/>
    <w:rsid w:val="1194649A"/>
    <w:rsid w:val="11D853C4"/>
    <w:rsid w:val="14DB27BC"/>
    <w:rsid w:val="173B182E"/>
    <w:rsid w:val="1797364A"/>
    <w:rsid w:val="18BD3D8B"/>
    <w:rsid w:val="1BF9481C"/>
    <w:rsid w:val="1C097061"/>
    <w:rsid w:val="1D497F8F"/>
    <w:rsid w:val="1F315400"/>
    <w:rsid w:val="1FA42111"/>
    <w:rsid w:val="21072B5A"/>
    <w:rsid w:val="21A72AE3"/>
    <w:rsid w:val="22FA6C0B"/>
    <w:rsid w:val="242968F6"/>
    <w:rsid w:val="250704A9"/>
    <w:rsid w:val="25D02653"/>
    <w:rsid w:val="280923E7"/>
    <w:rsid w:val="2A8E60B9"/>
    <w:rsid w:val="2DDB2008"/>
    <w:rsid w:val="2FE829D4"/>
    <w:rsid w:val="30C8471E"/>
    <w:rsid w:val="316F7559"/>
    <w:rsid w:val="31992AF0"/>
    <w:rsid w:val="31D77C3C"/>
    <w:rsid w:val="32326956"/>
    <w:rsid w:val="32566A18"/>
    <w:rsid w:val="34923739"/>
    <w:rsid w:val="34E918F9"/>
    <w:rsid w:val="352C3AE8"/>
    <w:rsid w:val="353811D8"/>
    <w:rsid w:val="353B25F0"/>
    <w:rsid w:val="35A366CD"/>
    <w:rsid w:val="37464121"/>
    <w:rsid w:val="399D46A1"/>
    <w:rsid w:val="3C9C10F0"/>
    <w:rsid w:val="3D221D77"/>
    <w:rsid w:val="3D5B4276"/>
    <w:rsid w:val="3D872301"/>
    <w:rsid w:val="3E2B7CDB"/>
    <w:rsid w:val="3F542796"/>
    <w:rsid w:val="412616D0"/>
    <w:rsid w:val="41C02416"/>
    <w:rsid w:val="421E736F"/>
    <w:rsid w:val="423C1B4F"/>
    <w:rsid w:val="42EB4521"/>
    <w:rsid w:val="44195884"/>
    <w:rsid w:val="44BD52CA"/>
    <w:rsid w:val="45304C7D"/>
    <w:rsid w:val="46145DD8"/>
    <w:rsid w:val="46956E9B"/>
    <w:rsid w:val="47B567F9"/>
    <w:rsid w:val="48551A64"/>
    <w:rsid w:val="4857347D"/>
    <w:rsid w:val="487C63C8"/>
    <w:rsid w:val="48B73A4A"/>
    <w:rsid w:val="48D32293"/>
    <w:rsid w:val="4A375643"/>
    <w:rsid w:val="4DA51DA7"/>
    <w:rsid w:val="4ECE3331"/>
    <w:rsid w:val="4FF43D43"/>
    <w:rsid w:val="51606B12"/>
    <w:rsid w:val="5385612D"/>
    <w:rsid w:val="548937B7"/>
    <w:rsid w:val="551951B2"/>
    <w:rsid w:val="552912AF"/>
    <w:rsid w:val="55706BDA"/>
    <w:rsid w:val="57AC5C84"/>
    <w:rsid w:val="57FF3E46"/>
    <w:rsid w:val="58C918B8"/>
    <w:rsid w:val="59B31617"/>
    <w:rsid w:val="5B7046C3"/>
    <w:rsid w:val="5DBD27C3"/>
    <w:rsid w:val="5E157804"/>
    <w:rsid w:val="5E603124"/>
    <w:rsid w:val="5EDC409A"/>
    <w:rsid w:val="5F03050D"/>
    <w:rsid w:val="5F70021B"/>
    <w:rsid w:val="601F1B42"/>
    <w:rsid w:val="60A02554"/>
    <w:rsid w:val="61BC1293"/>
    <w:rsid w:val="62687B8A"/>
    <w:rsid w:val="631C00DA"/>
    <w:rsid w:val="63791045"/>
    <w:rsid w:val="657550C7"/>
    <w:rsid w:val="659A77F3"/>
    <w:rsid w:val="68783B98"/>
    <w:rsid w:val="68D51EC8"/>
    <w:rsid w:val="6B8972CE"/>
    <w:rsid w:val="6CB17AED"/>
    <w:rsid w:val="6D6A6905"/>
    <w:rsid w:val="6DCD3746"/>
    <w:rsid w:val="6EDB23EE"/>
    <w:rsid w:val="6F953355"/>
    <w:rsid w:val="706412D0"/>
    <w:rsid w:val="70B57FAD"/>
    <w:rsid w:val="745C4FAC"/>
    <w:rsid w:val="74616C1E"/>
    <w:rsid w:val="74C92307"/>
    <w:rsid w:val="755E2206"/>
    <w:rsid w:val="75997F9E"/>
    <w:rsid w:val="77C64378"/>
    <w:rsid w:val="77FD1265"/>
    <w:rsid w:val="788C147F"/>
    <w:rsid w:val="79E35305"/>
    <w:rsid w:val="7A472EE3"/>
    <w:rsid w:val="7A5A6899"/>
    <w:rsid w:val="7AC75D93"/>
    <w:rsid w:val="7B27321C"/>
    <w:rsid w:val="7B667497"/>
    <w:rsid w:val="7BB61CFB"/>
    <w:rsid w:val="7BF74CF0"/>
    <w:rsid w:val="7C2B14DB"/>
    <w:rsid w:val="7D134BD5"/>
    <w:rsid w:val="7E1304FC"/>
    <w:rsid w:val="7E1B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12" w:firstLineChars="200"/>
      <w:jc w:val="both"/>
    </w:pPr>
    <w:rPr>
      <w:rFonts w:ascii="Times New Roman" w:hAnsi="Times New Roman" w:eastAsia="仿宋_GB2312" w:cstheme="minorBidi"/>
      <w:kern w:val="2"/>
      <w:sz w:val="32"/>
      <w:szCs w:val="32"/>
      <w:lang w:val="en-US" w:eastAsia="zh-CN" w:bidi="ar-SA"/>
    </w:rPr>
  </w:style>
  <w:style w:type="paragraph" w:styleId="3">
    <w:name w:val="heading 1"/>
    <w:next w:val="1"/>
    <w:qFormat/>
    <w:uiPriority w:val="0"/>
    <w:pPr>
      <w:keepNext/>
      <w:keepLines/>
      <w:spacing w:beforeLines="0" w:beforeAutospacing="0" w:afterLines="0" w:afterAutospacing="0" w:line="560" w:lineRule="exact"/>
      <w:ind w:firstLine="852" w:firstLineChars="200"/>
      <w:jc w:val="both"/>
      <w:outlineLvl w:val="0"/>
    </w:pPr>
    <w:rPr>
      <w:rFonts w:ascii="Times New Roman" w:hAnsi="Times New Roman" w:eastAsia="黑体" w:cstheme="minorBidi"/>
      <w:kern w:val="44"/>
      <w:sz w:val="32"/>
      <w:szCs w:val="32"/>
    </w:rPr>
  </w:style>
  <w:style w:type="paragraph" w:styleId="4">
    <w:name w:val="heading 2"/>
    <w:next w:val="1"/>
    <w:unhideWhenUsed/>
    <w:qFormat/>
    <w:uiPriority w:val="0"/>
    <w:pPr>
      <w:keepNext/>
      <w:keepLines/>
      <w:spacing w:beforeLines="0" w:beforeAutospacing="0" w:afterLines="0" w:afterAutospacing="0" w:line="560" w:lineRule="exact"/>
      <w:ind w:firstLine="1632" w:firstLineChars="200"/>
      <w:jc w:val="both"/>
      <w:outlineLvl w:val="1"/>
    </w:pPr>
    <w:rPr>
      <w:rFonts w:ascii="Times New Roman" w:hAnsi="Times New Roman" w:eastAsia="楷体" w:cstheme="minorBidi"/>
      <w:sz w:val="32"/>
      <w:szCs w:val="32"/>
    </w:rPr>
  </w:style>
  <w:style w:type="paragraph" w:styleId="5">
    <w:name w:val="heading 3"/>
    <w:next w:val="1"/>
    <w:unhideWhenUsed/>
    <w:qFormat/>
    <w:uiPriority w:val="0"/>
    <w:pPr>
      <w:keepNext/>
      <w:keepLines/>
      <w:spacing w:beforeLines="0" w:beforeAutospacing="0" w:afterLines="0" w:afterAutospacing="0" w:line="560" w:lineRule="exact"/>
      <w:ind w:firstLine="1632" w:firstLineChars="200"/>
      <w:jc w:val="both"/>
      <w:outlineLvl w:val="2"/>
    </w:pPr>
    <w:rPr>
      <w:rFonts w:ascii="Times New Roman" w:hAnsi="Times New Roman" w:eastAsia="仿宋_GB2312" w:cstheme="minorBidi"/>
      <w:sz w:val="32"/>
      <w:szCs w:val="32"/>
    </w:rPr>
  </w:style>
  <w:style w:type="paragraph" w:styleId="6">
    <w:name w:val="heading 4"/>
    <w:next w:val="1"/>
    <w:unhideWhenUsed/>
    <w:qFormat/>
    <w:uiPriority w:val="0"/>
    <w:pPr>
      <w:keepNext/>
      <w:keepLines/>
      <w:spacing w:beforeLines="0" w:beforeAutospacing="0" w:afterLines="0" w:afterAutospacing="0" w:line="560" w:lineRule="exact"/>
      <w:ind w:firstLine="1632" w:firstLineChars="200"/>
      <w:jc w:val="both"/>
      <w:outlineLvl w:val="3"/>
    </w:pPr>
    <w:rPr>
      <w:rFonts w:ascii="Times New Roman" w:hAnsi="Times New Roman" w:eastAsia="仿宋_GB2312" w:cstheme="minorBidi"/>
      <w:sz w:val="32"/>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7">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customStyle="1" w:styleId="10">
    <w:name w:val="公文标题"/>
    <w:next w:val="1"/>
    <w:qFormat/>
    <w:uiPriority w:val="0"/>
    <w:pPr>
      <w:spacing w:line="700" w:lineRule="exact"/>
      <w:ind w:firstLine="0" w:firstLineChars="0"/>
      <w:jc w:val="center"/>
    </w:pPr>
    <w:rPr>
      <w:rFonts w:ascii="Calibri" w:hAnsi="Calibri" w:eastAsia="方正小标宋_GBK" w:cstheme="minorBidi"/>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Desktop\&#19994;&#21153;&#21150;&#29702;\2020&#24180;&#22303;&#22320;&#20379;&#24212;\&#39532;&#23433;&#20013;&#24515;&#21306;JD17-01&#22320;&#22359;\&#22996;&#25176;&#25346;&#29260;\&#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公文模板.dotx</Template>
  <Pages>1</Pages>
  <Words>137</Words>
  <Characters>137</Characters>
  <Lines>0</Lines>
  <Paragraphs>0</Paragraphs>
  <TotalTime>39</TotalTime>
  <ScaleCrop>false</ScaleCrop>
  <LinksUpToDate>false</LinksUpToDate>
  <CharactersWithSpaces>137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2020-04-28T08:38:00Z</dcterms:created>
  <dc:creator>市自然资源局</dc:creator>
  <cp:lastModifiedBy>Administrator</cp:lastModifiedBy>
  <cp:lastPrinted>2020-12-09T07:18:00Z</cp:lastPrinted>
  <dcterms:modified xsi:type="dcterms:W3CDTF">2020-12-10T07:16:06Z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