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r>
        <w:rPr>
          <w:rFonts w:hint="eastAsia"/>
          <w:sz w:val="32"/>
          <w:szCs w:val="32"/>
        </w:rPr>
        <w:t>合同编号:</w:t>
      </w:r>
      <w:r>
        <w:rPr>
          <w:rFonts w:hint="eastAsia"/>
          <w:sz w:val="32"/>
          <w:szCs w:val="32"/>
          <w:u w:val="single"/>
        </w:rPr>
        <w:t xml:space="preserve">       </w:t>
      </w:r>
      <w:r>
        <w:rPr>
          <w:rFonts w:hint="eastAsia"/>
          <w:sz w:val="32"/>
          <w:szCs w:val="32"/>
          <w:u w:val="single"/>
        </w:rPr>
        <w:tab/>
      </w:r>
    </w:p>
    <w:p>
      <w:pPr>
        <w:rPr>
          <w:rFonts w:hint="eastAsia"/>
          <w:sz w:val="32"/>
          <w:szCs w:val="32"/>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采矿权出让合同示范文本</w:t>
      </w:r>
    </w:p>
    <w:p>
      <w:pPr>
        <w:jc w:val="center"/>
        <w:rPr>
          <w:rFonts w:hint="eastAsia" w:ascii="仿宋" w:hAnsi="仿宋" w:eastAsia="仿宋" w:cs="仿宋"/>
          <w:sz w:val="32"/>
          <w:szCs w:val="32"/>
        </w:rPr>
      </w:pPr>
      <w:r>
        <w:rPr>
          <w:rFonts w:hint="eastAsia" w:ascii="仿宋" w:hAnsi="仿宋" w:eastAsia="仿宋" w:cs="仿宋"/>
          <w:sz w:val="32"/>
          <w:szCs w:val="32"/>
        </w:rPr>
        <w:t>（范本）</w:t>
      </w:r>
    </w:p>
    <w:p>
      <w:pPr>
        <w:jc w:val="center"/>
        <w:rPr>
          <w:rFonts w:hint="eastAsia" w:ascii="仿宋" w:hAnsi="仿宋" w:eastAsia="仿宋" w:cs="仿宋"/>
          <w:sz w:val="32"/>
          <w:szCs w:val="32"/>
        </w:rPr>
      </w:pP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甲方（出让人）：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 xml:space="preserve">场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所：</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法</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定</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代</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表</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u w:val="single"/>
          <w:lang w:val="en-US" w:eastAsia="zh-CN"/>
        </w:rPr>
      </w:pPr>
    </w:p>
    <w:p>
      <w:pPr>
        <w:rPr>
          <w:rFonts w:hint="eastAsia" w:ascii="仿宋" w:hAnsi="仿宋" w:eastAsia="仿宋" w:cs="仿宋"/>
          <w:b/>
          <w:bCs/>
          <w:sz w:val="32"/>
          <w:szCs w:val="32"/>
          <w:u w:val="single"/>
          <w:lang w:val="en-US" w:eastAsia="zh-CN"/>
        </w:rPr>
      </w:pPr>
    </w:p>
    <w:p>
      <w:pPr>
        <w:rPr>
          <w:rFonts w:hint="eastAsia" w:ascii="仿宋" w:hAnsi="仿宋" w:eastAsia="仿宋" w:cs="仿宋"/>
          <w:b/>
          <w:bCs/>
          <w:sz w:val="32"/>
          <w:szCs w:val="32"/>
          <w:u w:val="single"/>
          <w:lang w:val="en-US" w:eastAsia="zh-CN"/>
        </w:rPr>
      </w:pPr>
    </w:p>
    <w:p>
      <w:pPr>
        <w:rPr>
          <w:rFonts w:hint="eastAsia" w:ascii="仿宋" w:hAnsi="仿宋" w:eastAsia="仿宋" w:cs="仿宋"/>
          <w:b/>
          <w:bCs/>
          <w:sz w:val="32"/>
          <w:szCs w:val="32"/>
        </w:rPr>
      </w:pPr>
      <w:r>
        <w:rPr>
          <w:rFonts w:hint="eastAsia" w:ascii="仿宋" w:hAnsi="仿宋" w:eastAsia="仿宋" w:cs="仿宋"/>
          <w:b/>
          <w:bCs/>
          <w:sz w:val="32"/>
          <w:szCs w:val="32"/>
        </w:rPr>
        <w:t>乙方（受让人）：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场</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所：</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法</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定</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代</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表</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统</w:t>
      </w:r>
      <w:r>
        <w:rPr>
          <w:rFonts w:hint="eastAsia" w:ascii="仿宋" w:hAnsi="仿宋" w:eastAsia="仿宋" w:cs="仿宋"/>
          <w:b/>
          <w:bCs/>
          <w:sz w:val="32"/>
          <w:szCs w:val="32"/>
          <w:lang w:eastAsia="zh-CN"/>
        </w:rPr>
        <w:t>一</w:t>
      </w:r>
      <w:r>
        <w:rPr>
          <w:rFonts w:hint="eastAsia" w:ascii="仿宋" w:hAnsi="仿宋" w:eastAsia="仿宋" w:cs="仿宋"/>
          <w:b/>
          <w:bCs/>
          <w:sz w:val="32"/>
          <w:szCs w:val="32"/>
        </w:rPr>
        <w:t>社会信用代码：</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rPr>
        <w:tab/>
      </w:r>
    </w:p>
    <w:p>
      <w:pPr>
        <w:rPr>
          <w:rFonts w:hint="eastAsia" w:ascii="仿宋" w:hAnsi="仿宋" w:eastAsia="仿宋" w:cs="仿宋"/>
          <w:sz w:val="32"/>
          <w:szCs w:val="32"/>
        </w:rPr>
      </w:pPr>
      <w:r>
        <w:rPr>
          <w:rFonts w:hint="eastAsia" w:ascii="仿宋" w:hAnsi="仿宋" w:eastAsia="仿宋" w:cs="仿宋"/>
          <w:sz w:val="32"/>
          <w:szCs w:val="32"/>
        </w:rPr>
        <w:br w:type="page"/>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根据《中华人民共和国矿产资源法》《中华人民共和国合同法》《矿业权出让制度改革方案》《矿产资源权益金制度改革方案》《关于推进矿产资源管理改革若干事项的意见（</w:t>
      </w:r>
      <w:r>
        <w:rPr>
          <w:rFonts w:hint="eastAsia" w:ascii="仿宋" w:hAnsi="仿宋" w:eastAsia="仿宋" w:cs="仿宋"/>
          <w:sz w:val="32"/>
          <w:szCs w:val="32"/>
          <w:lang w:eastAsia="zh-CN"/>
        </w:rPr>
        <w:t>试</w:t>
      </w:r>
      <w:r>
        <w:rPr>
          <w:rFonts w:hint="eastAsia" w:ascii="仿宋" w:hAnsi="仿宋" w:eastAsia="仿宋" w:cs="仿宋"/>
          <w:sz w:val="32"/>
          <w:szCs w:val="32"/>
        </w:rPr>
        <w:t>行）》《矿业权出让收益征收管理暂行办法》《矿业权交易规则》等相关规定，甲乙双方经协商一致订立本合同。</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采矿权基本情况</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称：</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 xml:space="preserve">（二）矿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种：</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（三）地理位置：</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（四）资源储量：</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（五）面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积：</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（六）范围坐标：</w:t>
      </w:r>
      <w:r>
        <w:rPr>
          <w:rFonts w:hint="eastAsia" w:ascii="仿宋" w:hAnsi="仿宋" w:eastAsia="仿宋" w:cs="仿宋"/>
          <w:b/>
          <w:bCs/>
          <w:sz w:val="32"/>
          <w:szCs w:val="32"/>
          <w:u w:val="single"/>
          <w:lang w:val="en-US" w:eastAsia="zh-CN"/>
        </w:rPr>
        <w:t xml:space="preserve">                                </w:t>
      </w:r>
    </w:p>
    <w:p>
      <w:pPr>
        <w:ind w:firstLine="643" w:firstLineChars="200"/>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 xml:space="preserve">                                                </w:t>
      </w:r>
    </w:p>
    <w:p>
      <w:pPr>
        <w:ind w:firstLine="643" w:firstLineChars="200"/>
        <w:rPr>
          <w:rFonts w:hint="default"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（七）开采标高</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米至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米</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出让范围在办理矿产</w:t>
      </w:r>
      <w:r>
        <w:rPr>
          <w:rFonts w:hint="eastAsia" w:ascii="仿宋" w:hAnsi="仿宋" w:eastAsia="仿宋" w:cs="仿宋"/>
          <w:sz w:val="32"/>
          <w:szCs w:val="32"/>
          <w:lang w:eastAsia="zh-CN"/>
        </w:rPr>
        <w:t>资</w:t>
      </w:r>
      <w:r>
        <w:rPr>
          <w:rFonts w:hint="eastAsia" w:ascii="仿宋" w:hAnsi="仿宋" w:eastAsia="仿宋" w:cs="仿宋"/>
          <w:sz w:val="32"/>
          <w:szCs w:val="32"/>
        </w:rPr>
        <w:t>源开采登记时因（</w:t>
      </w:r>
      <w:r>
        <w:rPr>
          <w:rFonts w:hint="eastAsia" w:ascii="仿宋" w:hAnsi="仿宋" w:eastAsia="仿宋" w:cs="仿宋"/>
          <w:sz w:val="32"/>
          <w:szCs w:val="32"/>
          <w:u w:val="single"/>
        </w:rPr>
        <w:t>如避让保护地）</w:t>
      </w:r>
      <w:r>
        <w:rPr>
          <w:rFonts w:hint="eastAsia" w:ascii="仿宋" w:hAnsi="仿宋" w:eastAsia="仿宋" w:cs="仿宋"/>
          <w:sz w:val="32"/>
          <w:szCs w:val="32"/>
        </w:rPr>
        <w:t>等原因调整的，以采矿权登记范围为准</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出让方式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）采矿权以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招标/拍卖/挂牌</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方式出让。</w:t>
      </w:r>
    </w:p>
    <w:p>
      <w:pPr>
        <w:ind w:left="958" w:leftChars="266" w:hanging="320" w:hangingChars="100"/>
        <w:rPr>
          <w:rFonts w:hint="eastAsia" w:ascii="仿宋" w:hAnsi="仿宋" w:eastAsia="仿宋" w:cs="仿宋"/>
          <w:sz w:val="32"/>
          <w:szCs w:val="32"/>
          <w:lang w:eastAsia="zh-CN"/>
        </w:rPr>
      </w:pPr>
      <w:r>
        <w:rPr>
          <w:rFonts w:hint="eastAsia" w:ascii="仿宋" w:hAnsi="仿宋" w:eastAsia="仿宋" w:cs="仿宋"/>
          <w:sz w:val="32"/>
          <w:szCs w:val="32"/>
        </w:rPr>
        <w:t>（二）实施</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招标/拍卖/挂牌 </w:t>
      </w:r>
      <w:r>
        <w:rPr>
          <w:rFonts w:hint="eastAsia" w:ascii="仿宋" w:hAnsi="仿宋" w:eastAsia="仿宋" w:cs="仿宋"/>
          <w:sz w:val="32"/>
          <w:szCs w:val="32"/>
        </w:rPr>
        <w:t>出让的矿业权交易平</w:t>
      </w:r>
      <w:r>
        <w:rPr>
          <w:rFonts w:hint="eastAsia" w:ascii="仿宋" w:hAnsi="仿宋" w:eastAsia="仿宋" w:cs="仿宋"/>
          <w:sz w:val="32"/>
          <w:szCs w:val="32"/>
          <w:lang w:eastAsia="zh-CN"/>
        </w:rPr>
        <w:t>台：</w:t>
      </w:r>
    </w:p>
    <w:p>
      <w:pPr>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（名称）                                </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rPr>
        <w:t xml:space="preserve">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法定代表人：</w:t>
      </w:r>
      <w:r>
        <w:rPr>
          <w:rFonts w:hint="eastAsia" w:ascii="仿宋" w:hAnsi="仿宋" w:eastAsia="仿宋" w:cs="仿宋"/>
          <w:sz w:val="32"/>
          <w:szCs w:val="32"/>
          <w:u w:val="single"/>
          <w:lang w:val="en-US" w:eastAsia="zh-CN"/>
        </w:rPr>
        <w:t xml:space="preserve">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出让年限</w:t>
      </w:r>
    </w:p>
    <w:p>
      <w:pPr>
        <w:ind w:firstLine="640" w:firstLineChars="200"/>
        <w:rPr>
          <w:rFonts w:hint="eastAsia" w:ascii="仿宋" w:hAnsi="仿宋" w:eastAsia="仿宋" w:cs="仿宋"/>
          <w:sz w:val="32"/>
          <w:szCs w:val="32"/>
          <w:u w:val="single"/>
          <w:lang w:eastAsia="zh-CN"/>
        </w:rPr>
      </w:pPr>
      <w:r>
        <w:rPr>
          <w:rFonts w:hint="eastAsia" w:ascii="仿宋" w:hAnsi="仿宋" w:eastAsia="仿宋" w:cs="仿宋"/>
          <w:sz w:val="32"/>
          <w:szCs w:val="32"/>
        </w:rPr>
        <w:t>采矿权出让年限为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（其他约定） </w:t>
      </w:r>
      <w:r>
        <w:rPr>
          <w:rFonts w:hint="eastAsia" w:ascii="仿宋" w:hAnsi="仿宋" w:eastAsia="仿宋" w:cs="仿宋"/>
          <w:sz w:val="32"/>
          <w:szCs w:val="32"/>
          <w:u w:val="none"/>
          <w:lang w:eastAsia="zh-CN"/>
        </w:rPr>
        <w:t>。</w:t>
      </w:r>
    </w:p>
    <w:p>
      <w:pPr>
        <w:numPr>
          <w:ilvl w:val="0"/>
          <w:numId w:val="1"/>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采矿权出让收益</w:t>
      </w:r>
    </w:p>
    <w:p>
      <w:pPr>
        <w:numPr>
          <w:ilvl w:val="0"/>
          <w:numId w:val="0"/>
        </w:numPr>
        <w:ind w:right="0" w:righ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通过出让金额的形式征收</w:t>
      </w:r>
    </w:p>
    <w:p>
      <w:pPr>
        <w:ind w:firstLine="640" w:firstLineChars="200"/>
        <w:rPr>
          <w:rFonts w:hint="eastAsia" w:ascii="仿宋" w:hAnsi="仿宋" w:eastAsia="仿宋" w:cs="仿宋"/>
          <w:b w:val="0"/>
          <w:bCs w:val="0"/>
          <w:sz w:val="32"/>
          <w:szCs w:val="32"/>
          <w:u w:val="none"/>
        </w:rPr>
      </w:pPr>
      <w:r>
        <w:rPr>
          <w:rFonts w:hint="eastAsia" w:ascii="仿宋" w:hAnsi="仿宋" w:eastAsia="仿宋" w:cs="仿宋"/>
          <w:sz w:val="32"/>
          <w:szCs w:val="32"/>
        </w:rPr>
        <w:t>（一）采矿权出让收益为人民币：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元（大写）</w:t>
      </w:r>
      <w:r>
        <w:rPr>
          <w:rFonts w:hint="eastAsia" w:ascii="仿宋" w:hAnsi="仿宋" w:eastAsia="仿宋" w:cs="仿宋"/>
          <w:b w:val="0"/>
          <w:bCs w:val="0"/>
          <w:sz w:val="32"/>
          <w:szCs w:val="32"/>
          <w:u w:val="single"/>
        </w:rPr>
        <w:t>（¥</w:t>
      </w:r>
      <w:r>
        <w:rPr>
          <w:rFonts w:hint="eastAsia" w:ascii="仿宋" w:hAnsi="仿宋" w:eastAsia="仿宋" w:cs="仿宋"/>
          <w:b w:val="0"/>
          <w:bCs w:val="0"/>
          <w:sz w:val="32"/>
          <w:szCs w:val="32"/>
          <w:u w:val="single"/>
        </w:rPr>
        <w:tab/>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single"/>
        </w:rPr>
        <w:t>元）</w:t>
      </w:r>
      <w:r>
        <w:rPr>
          <w:rFonts w:hint="eastAsia" w:ascii="仿宋" w:hAnsi="仿宋" w:eastAsia="仿宋" w:cs="仿宋"/>
          <w:b w:val="0"/>
          <w:bCs w:val="0"/>
          <w:sz w:val="32"/>
          <w:szCs w:val="32"/>
          <w:u w:val="single"/>
        </w:rPr>
        <w:tab/>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（二）采矿权出让收益按以下第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种方式缴纳，缴款时间以缴款通知书或合同约定时间为准。</w:t>
      </w:r>
      <w:r>
        <w:rPr>
          <w:rFonts w:hint="eastAsia" w:ascii="仿宋" w:hAnsi="仿宋" w:eastAsia="仿宋" w:cs="仿宋"/>
          <w:sz w:val="32"/>
          <w:szCs w:val="32"/>
        </w:rPr>
        <w:tab/>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一</w:t>
      </w:r>
      <w:r>
        <w:rPr>
          <w:rFonts w:hint="eastAsia" w:ascii="仿宋" w:hAnsi="仿宋" w:eastAsia="仿宋" w:cs="仿宋"/>
          <w:sz w:val="32"/>
          <w:szCs w:val="32"/>
        </w:rPr>
        <w:t>次性缴纳。</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2.分期缴纳"首次缴纳人民币：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元（大写）（</w:t>
      </w:r>
      <w:r>
        <w:rPr>
          <w:rFonts w:hint="eastAsia" w:ascii="仿宋" w:hAnsi="仿宋" w:eastAsia="仿宋" w:cs="仿宋"/>
          <w:b w:val="0"/>
          <w:bCs w:val="0"/>
          <w:sz w:val="32"/>
          <w:szCs w:val="32"/>
          <w:u w:val="single"/>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w:t>
      </w:r>
      <w:r>
        <w:rPr>
          <w:rFonts w:hint="eastAsia" w:ascii="仿宋" w:hAnsi="仿宋" w:eastAsia="仿宋" w:cs="仿宋"/>
          <w:sz w:val="32"/>
          <w:szCs w:val="32"/>
        </w:rPr>
        <w:t>;剩余部分在采矿权有效期内分</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年缴纳，每年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日前缴纳人民币：</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元（大写）</w:t>
      </w:r>
    </w:p>
    <w:p>
      <w:pPr>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自本合同签订之日</w:t>
      </w:r>
      <w:r>
        <w:rPr>
          <w:rFonts w:hint="eastAsia" w:ascii="仿宋" w:hAnsi="仿宋" w:eastAsia="仿宋" w:cs="仿宋"/>
          <w:sz w:val="32"/>
          <w:szCs w:val="32"/>
          <w:lang w:eastAsia="zh-CN"/>
        </w:rPr>
        <w:t>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个</w:t>
      </w:r>
      <w:r>
        <w:rPr>
          <w:rFonts w:hint="eastAsia" w:ascii="仿宋" w:hAnsi="仿宋" w:eastAsia="仿宋" w:cs="仿宋"/>
          <w:sz w:val="32"/>
          <w:szCs w:val="32"/>
          <w:lang w:val="en-US" w:eastAsia="zh-CN"/>
        </w:rPr>
        <w:t>月</w:t>
      </w:r>
      <w:r>
        <w:rPr>
          <w:rFonts w:hint="eastAsia" w:ascii="仿宋" w:hAnsi="仿宋" w:eastAsia="仿宋" w:cs="仿宋"/>
          <w:sz w:val="32"/>
          <w:szCs w:val="32"/>
        </w:rPr>
        <w:t>内，乙方应向甲方申请办理矿产资源开采登记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因不可抗力等非竞得人自身的原因，竞得人无法按规定时间提交采矿权登记申请资料的，在竞得人提交充分且能够说明迟延原因的相关证明材料后，可根据实际情况延期办理，最长不超过12个月。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未取得采矿许可证或者采矿许可证超出有效期限的，乙方不得在出让范围内开采矿产资源。</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对于乙方符合法定条件、标准的矿产资源开采登记申请，甲方应在法定时限内为乙方办理矿产资源开采登记手续.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在本合同生效期间，甲方不应将全部或者部分出让范围另行向第三方出让。</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乙方在收到缴款通知书7个工作日内，应按缴</w:t>
      </w:r>
    </w:p>
    <w:p>
      <w:pPr>
        <w:rPr>
          <w:rFonts w:hint="eastAsia" w:ascii="仿宋" w:hAnsi="仿宋" w:eastAsia="仿宋" w:cs="仿宋"/>
          <w:sz w:val="32"/>
          <w:szCs w:val="32"/>
          <w:lang w:eastAsia="zh-CN"/>
        </w:rPr>
      </w:pPr>
      <w:r>
        <w:rPr>
          <w:rFonts w:hint="eastAsia" w:ascii="仿宋" w:hAnsi="仿宋" w:eastAsia="仿宋" w:cs="仿宋"/>
          <w:sz w:val="32"/>
          <w:szCs w:val="32"/>
        </w:rPr>
        <w:t>款通知及时缴纳采矿权出让收益。分期缴纳的，剩余部分按合同约定的时间缴纳</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乙方未按时足额缴纳采矿权出让收益的，自然资源主管部门按照征收管理权限责令改正，从滞纳之日起每日加收千分之二的滞纳金，并将相关信息纳入企业诚信系统。</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在本合同有效期内，乙方申请扩大矿区范围、</w:t>
      </w:r>
      <w:r>
        <w:rPr>
          <w:rFonts w:hint="eastAsia" w:ascii="仿宋" w:hAnsi="仿宋" w:eastAsia="仿宋" w:cs="仿宋"/>
          <w:sz w:val="32"/>
          <w:szCs w:val="32"/>
          <w:lang w:val="en-US" w:eastAsia="zh-CN"/>
        </w:rPr>
        <w:t>新</w:t>
      </w:r>
      <w:r>
        <w:rPr>
          <w:rFonts w:hint="eastAsia" w:ascii="仿宋" w:hAnsi="仿宋" w:eastAsia="仿宋" w:cs="仿宋"/>
          <w:sz w:val="32"/>
          <w:szCs w:val="32"/>
        </w:rPr>
        <w:t>增资源储量、新增开采矿种，甲乙双方需另行签订补充协议，约定相应采矿权出让范围、开采矿种、出让收益等事宜；乙方申请缩小开采范围，乙方应向甲方申请采矿权变更登记，采矿权出让范围以变更登记后的矿区范围为准</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w:t>
      </w:r>
      <w:r>
        <w:rPr>
          <w:rFonts w:hint="eastAsia" w:ascii="仿宋" w:hAnsi="仿宋" w:eastAsia="仿宋" w:cs="仿宋"/>
          <w:b/>
          <w:bCs/>
          <w:sz w:val="32"/>
          <w:szCs w:val="32"/>
        </w:rPr>
        <w:t xml:space="preserve">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在本合同有效期内，如矿业权出让收益征收管理等政策调整，则按新的规定执行。</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rPr>
        <w:t xml:space="preserve">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乙方在持有采矿许可证期间，应严格遵守矿产资源法律法规、相关矿业权管理政策，依法有效保护，合理开采、综合利用矿产资源，依法保护生态环境，建设绿色矿山，认真履行矿业权税费缴纳、矿山地质环境保护与土地复垦</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等相关义务</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因国家</w:t>
      </w:r>
      <w:r>
        <w:rPr>
          <w:rFonts w:hint="eastAsia" w:ascii="仿宋" w:hAnsi="仿宋" w:eastAsia="仿宋" w:cs="仿宋"/>
          <w:sz w:val="32"/>
          <w:szCs w:val="32"/>
          <w:lang w:eastAsia="zh-CN"/>
        </w:rPr>
        <w:t>政</w:t>
      </w:r>
      <w:r>
        <w:rPr>
          <w:rFonts w:hint="eastAsia" w:ascii="仿宋" w:hAnsi="仿宋" w:eastAsia="仿宋" w:cs="仿宋"/>
          <w:sz w:val="32"/>
          <w:szCs w:val="32"/>
        </w:rPr>
        <w:t>策调整、重大自然灾害和破产清算等原因注销采矿许可证的，乙方有权申请按照实际动用的资源储量进行采矿权出让收益核定，并依据相关规定实行多退</w:t>
      </w:r>
    </w:p>
    <w:p>
      <w:pPr>
        <w:rPr>
          <w:rFonts w:hint="eastAsia" w:ascii="仿宋" w:hAnsi="仿宋" w:eastAsia="仿宋" w:cs="仿宋"/>
          <w:sz w:val="32"/>
          <w:szCs w:val="32"/>
        </w:rPr>
      </w:pPr>
      <w:r>
        <w:rPr>
          <w:rFonts w:hint="eastAsia" w:ascii="仿宋" w:hAnsi="仿宋" w:eastAsia="仿宋" w:cs="仿宋"/>
          <w:sz w:val="32"/>
          <w:szCs w:val="32"/>
        </w:rPr>
        <w:t>少补。</w:t>
      </w:r>
    </w:p>
    <w:p>
      <w:pPr>
        <w:numPr>
          <w:ilvl w:val="0"/>
          <w:numId w:val="0"/>
        </w:numPr>
        <w:ind w:leftChars="200" w:right="0" w:rightChars="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合同解除</w:t>
      </w:r>
    </w:p>
    <w:p>
      <w:pPr>
        <w:numPr>
          <w:ilvl w:val="0"/>
          <w:numId w:val="0"/>
        </w:numPr>
        <w:ind w:leftChars="200" w:right="0" w:rightChars="0"/>
        <w:rPr>
          <w:rFonts w:hint="eastAsia" w:ascii="仿宋" w:hAnsi="仿宋" w:eastAsia="仿宋" w:cs="仿宋"/>
          <w:sz w:val="32"/>
          <w:szCs w:val="32"/>
        </w:rPr>
      </w:pPr>
      <w:r>
        <w:rPr>
          <w:rFonts w:hint="eastAsia" w:ascii="仿宋" w:hAnsi="仿宋" w:eastAsia="仿宋" w:cs="仿宋"/>
          <w:sz w:val="32"/>
          <w:szCs w:val="32"/>
        </w:rPr>
        <w:t>（一）自本合同签订之日起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个</w:t>
      </w:r>
      <w:r>
        <w:rPr>
          <w:rFonts w:hint="eastAsia" w:ascii="仿宋" w:hAnsi="仿宋" w:eastAsia="仿宋" w:cs="仿宋"/>
          <w:sz w:val="32"/>
          <w:szCs w:val="32"/>
          <w:lang w:val="en-US" w:eastAsia="zh-CN"/>
        </w:rPr>
        <w:t>月</w:t>
      </w:r>
      <w:r>
        <w:rPr>
          <w:rFonts w:hint="eastAsia" w:ascii="仿宋" w:hAnsi="仿宋" w:eastAsia="仿宋" w:cs="仿宋"/>
          <w:sz w:val="32"/>
          <w:szCs w:val="32"/>
        </w:rPr>
        <w:t>内，乙方未向甲方申</w:t>
      </w:r>
    </w:p>
    <w:p>
      <w:pPr>
        <w:rPr>
          <w:rFonts w:hint="eastAsia" w:ascii="仿宋" w:hAnsi="仿宋" w:eastAsia="仿宋" w:cs="仿宋"/>
          <w:sz w:val="32"/>
          <w:szCs w:val="32"/>
        </w:rPr>
      </w:pPr>
      <w:r>
        <w:rPr>
          <w:rFonts w:hint="eastAsia" w:ascii="仿宋" w:hAnsi="仿宋" w:eastAsia="仿宋" w:cs="仿宋"/>
          <w:sz w:val="32"/>
          <w:szCs w:val="32"/>
        </w:rPr>
        <w:t>请办理矿产资源开采登记的，甲方有权解除本合同。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（二）因开采许可所依据的客观情况发生重大变化，为了公共利益的需要，颁发采矿许可证的行政机关依法撤回采矿许可的，本合同自动解除，甲方应按规定妥善处置采矿权出让收益相关事宜。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（三）对属采矿权出让前期工作原因而导致的乙方无法如期正常开展开采工作的</w:t>
      </w:r>
      <w:bookmarkStart w:id="0" w:name="_GoBack"/>
      <w:bookmarkEnd w:id="0"/>
      <w:r>
        <w:rPr>
          <w:rFonts w:hint="eastAsia" w:ascii="仿宋" w:hAnsi="仿宋" w:eastAsia="仿宋" w:cs="仿宋"/>
          <w:sz w:val="32"/>
          <w:szCs w:val="32"/>
        </w:rPr>
        <w:t>，甲方可以撤回采矿权，并按照有关规定退还采矿权出让收益等巳征收的费用</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（四）乙方因违法法律法规被吊销、注销采矿许可证的，或者未在有效期届满前按要求申请延续，导致采矿许可证自行废止的，本合同自动解除，已缴纳的采矿权出让收益按规定处置</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u w:val="none"/>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（其他约定）</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本合同未尽事宜，按照相关法律法规的规定执行</w:t>
      </w:r>
      <w:r>
        <w:rPr>
          <w:rFonts w:hint="eastAsia" w:ascii="仿宋" w:hAnsi="仿宋" w:eastAsia="仿宋" w:cs="仿宋"/>
          <w:sz w:val="32"/>
          <w:szCs w:val="32"/>
          <w:lang w:eastAsia="zh-CN"/>
        </w:rPr>
        <w:t>。</w:t>
      </w:r>
      <w:r>
        <w:rPr>
          <w:rFonts w:hint="eastAsia" w:ascii="仿宋" w:hAnsi="仿宋" w:eastAsia="仿宋" w:cs="仿宋"/>
          <w:sz w:val="32"/>
          <w:szCs w:val="32"/>
        </w:rPr>
        <w:t>法律法规没有规定的，双方经协商一致后，可另行签订补充协议</w:t>
      </w:r>
      <w:r>
        <w:rPr>
          <w:rFonts w:hint="eastAsia" w:ascii="仿宋" w:hAnsi="仿宋" w:eastAsia="仿宋" w:cs="仿宋"/>
          <w:sz w:val="32"/>
          <w:szCs w:val="32"/>
          <w:lang w:eastAsia="zh-CN"/>
        </w:rPr>
        <w:t>。</w:t>
      </w:r>
      <w:r>
        <w:rPr>
          <w:rFonts w:hint="eastAsia" w:ascii="仿宋" w:hAnsi="仿宋" w:eastAsia="仿宋" w:cs="仿宋"/>
          <w:sz w:val="32"/>
          <w:szCs w:val="32"/>
        </w:rPr>
        <w:t>补充协议与本合同具有同等法律效力。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不能达成补充协议的，甲方有权依法依规处理，乙方可向相应行政机关申请行政复议，或者向人民法院提起行政诉</w:t>
      </w:r>
    </w:p>
    <w:p>
      <w:pPr>
        <w:rPr>
          <w:rFonts w:hint="eastAsia" w:ascii="仿宋" w:hAnsi="仿宋" w:eastAsia="仿宋" w:cs="仿宋"/>
          <w:sz w:val="32"/>
          <w:szCs w:val="32"/>
          <w:lang w:eastAsia="zh-CN"/>
        </w:rPr>
      </w:pPr>
      <w:r>
        <w:rPr>
          <w:rFonts w:hint="eastAsia" w:ascii="仿宋" w:hAnsi="仿宋" w:eastAsia="仿宋" w:cs="仿宋"/>
          <w:sz w:val="32"/>
          <w:szCs w:val="32"/>
        </w:rPr>
        <w:t>讼</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本合同一式六份，甲方、乙方及负责征收矿业权出让收益的自然资源主管部门各持两份，签字盖章后生效。</w:t>
      </w:r>
    </w:p>
    <w:p>
      <w:pPr>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rPr>
        <w:t>甲方（盖章）：</w:t>
      </w:r>
      <w:r>
        <w:rPr>
          <w:rFonts w:hint="eastAsia" w:ascii="仿宋" w:hAnsi="仿宋" w:eastAsia="仿宋" w:cs="仿宋"/>
          <w:sz w:val="32"/>
          <w:szCs w:val="32"/>
          <w:u w:val="single"/>
          <w:lang w:val="en-US" w:eastAsia="zh-CN"/>
        </w:rPr>
        <w:t xml:space="preserve">                                   </w:t>
      </w:r>
    </w:p>
    <w:p>
      <w:pPr>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rPr>
        <w:t>法定代表人或授权委托人（签字）:</w:t>
      </w: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日</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乙方（盖章）：</w:t>
      </w: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法定代表人或授权委托人（签字）：:</w:t>
      </w: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日</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523168"/>
    <w:multiLevelType w:val="singleLevel"/>
    <w:tmpl w:val="B2523168"/>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34F68"/>
    <w:rsid w:val="10D015C2"/>
    <w:rsid w:val="20034F68"/>
    <w:rsid w:val="2F8B3E21"/>
    <w:rsid w:val="35CF1FCA"/>
    <w:rsid w:val="382967EF"/>
    <w:rsid w:val="63BD7D83"/>
    <w:rsid w:val="6AB33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qFormat/>
    <w:uiPriority w:val="0"/>
    <w:pPr>
      <w:widowControl w:val="0"/>
      <w:shd w:val="clear" w:color="auto" w:fill="auto"/>
      <w:spacing w:after="320" w:line="343" w:lineRule="auto"/>
      <w:ind w:firstLine="400"/>
    </w:pPr>
    <w:rPr>
      <w:rFonts w:ascii="宋体" w:hAnsi="宋体" w:eastAsia="宋体" w:cs="宋体"/>
      <w:sz w:val="20"/>
      <w:szCs w:val="20"/>
      <w:u w:val="none"/>
      <w:shd w:val="clear" w:color="auto" w:fill="auto"/>
      <w:lang w:val="zh-CN" w:eastAsia="zh-CN" w:bidi="zh-CN"/>
    </w:rPr>
  </w:style>
  <w:style w:type="paragraph" w:customStyle="1" w:styleId="7">
    <w:name w:val="Body text|2"/>
    <w:basedOn w:val="1"/>
    <w:qFormat/>
    <w:uiPriority w:val="0"/>
    <w:pPr>
      <w:widowControl w:val="0"/>
      <w:shd w:val="clear" w:color="auto" w:fill="auto"/>
      <w:spacing w:after="210" w:line="331" w:lineRule="exact"/>
      <w:ind w:left="1840" w:right="600" w:firstLine="210"/>
      <w:jc w:val="right"/>
    </w:pPr>
    <w:rPr>
      <w:sz w:val="20"/>
      <w:szCs w:val="20"/>
      <w:u w:val="none"/>
      <w:shd w:val="clear" w:color="auto" w:fill="auto"/>
    </w:rPr>
  </w:style>
  <w:style w:type="paragraph" w:customStyle="1" w:styleId="8">
    <w:name w:val="Body text|4"/>
    <w:basedOn w:val="1"/>
    <w:qFormat/>
    <w:uiPriority w:val="0"/>
    <w:pPr>
      <w:widowControl w:val="0"/>
      <w:shd w:val="clear" w:color="auto" w:fill="auto"/>
      <w:spacing w:after="400"/>
      <w:jc w:val="center"/>
    </w:pPr>
    <w:rPr>
      <w:rFonts w:ascii="宋体" w:hAnsi="宋体" w:eastAsia="宋体" w:cs="宋体"/>
      <w:sz w:val="36"/>
      <w:szCs w:val="36"/>
      <w:u w:val="none"/>
      <w:shd w:val="clear" w:color="auto" w:fill="auto"/>
      <w:lang w:val="zh-CN" w:eastAsia="zh-CN" w:bidi="zh-CN"/>
    </w:rPr>
  </w:style>
  <w:style w:type="paragraph" w:customStyle="1" w:styleId="9">
    <w:name w:val="Body text|3"/>
    <w:basedOn w:val="1"/>
    <w:qFormat/>
    <w:uiPriority w:val="0"/>
    <w:pPr>
      <w:widowControl w:val="0"/>
      <w:shd w:val="clear" w:color="auto" w:fill="auto"/>
      <w:spacing w:after="220" w:line="466" w:lineRule="exact"/>
      <w:jc w:val="center"/>
    </w:pPr>
    <w:rPr>
      <w:rFonts w:ascii="宋体" w:hAnsi="宋体" w:eastAsia="宋体" w:cs="宋体"/>
      <w:sz w:val="26"/>
      <w:szCs w:val="26"/>
      <w:u w:val="none"/>
      <w:shd w:val="clear" w:color="auto" w:fill="auto"/>
      <w:lang w:val="zh-CN" w:eastAsia="zh-CN" w:bidi="zh-CN"/>
    </w:rPr>
  </w:style>
  <w:style w:type="paragraph" w:customStyle="1" w:styleId="10">
    <w:name w:val="Table caption|1"/>
    <w:basedOn w:val="1"/>
    <w:qFormat/>
    <w:uiPriority w:val="0"/>
    <w:pPr>
      <w:widowControl w:val="0"/>
      <w:shd w:val="clear" w:color="auto" w:fill="auto"/>
      <w:jc w:val="center"/>
    </w:pPr>
    <w:rPr>
      <w:rFonts w:ascii="宋体" w:hAnsi="宋体" w:eastAsia="宋体" w:cs="宋体"/>
      <w:color w:val="000000"/>
      <w:sz w:val="18"/>
      <w:szCs w:val="18"/>
      <w:u w:val="none"/>
      <w:shd w:val="clear" w:color="auto" w:fill="auto"/>
      <w:lang w:val="zh-CN" w:eastAsia="zh-CN" w:bidi="zh-CN"/>
    </w:rPr>
  </w:style>
  <w:style w:type="paragraph" w:customStyle="1" w:styleId="11">
    <w:name w:val="Other|1"/>
    <w:basedOn w:val="1"/>
    <w:qFormat/>
    <w:uiPriority w:val="0"/>
    <w:pPr>
      <w:widowControl w:val="0"/>
      <w:shd w:val="clear" w:color="auto" w:fill="auto"/>
      <w:spacing w:after="160"/>
      <w:ind w:firstLine="400"/>
    </w:pPr>
    <w:rPr>
      <w:rFonts w:ascii="宋体" w:hAnsi="宋体" w:eastAsia="宋体" w:cs="宋体"/>
      <w:color w:val="000000"/>
      <w:sz w:val="18"/>
      <w:szCs w:val="18"/>
      <w:u w:val="none"/>
      <w:shd w:val="clear" w:color="auto" w:fill="auto"/>
      <w:lang w:val="zh-CN" w:eastAsia="zh-CN" w:bidi="zh-CN"/>
    </w:rPr>
  </w:style>
  <w:style w:type="paragraph" w:customStyle="1" w:styleId="12">
    <w:name w:val="Table of contents|1"/>
    <w:basedOn w:val="1"/>
    <w:qFormat/>
    <w:uiPriority w:val="0"/>
    <w:pPr>
      <w:widowControl w:val="0"/>
      <w:shd w:val="clear" w:color="auto" w:fill="auto"/>
      <w:spacing w:after="160" w:line="322" w:lineRule="auto"/>
    </w:pPr>
    <w:rPr>
      <w:rFonts w:ascii="宋体" w:hAnsi="宋体" w:eastAsia="宋体" w:cs="宋体"/>
      <w:color w:val="000000"/>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龙门县</Company>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2020-05-27T07:54:00Z</dcterms:created>
  <dc:creator>遇灬</dc:creator>
  <cp:lastModifiedBy>天o舞</cp:lastModifiedBy>
  <dcterms:modified xsi:type="dcterms:W3CDTF">2020-05-28T00:47:28Z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