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1725" cy="5272405"/>
            <wp:effectExtent l="0" t="0" r="4445" b="15875"/>
            <wp:docPr id="13" name="图片 13" descr="龙农函[2020]119—122号  关于调整1527.80、2889.64、17754.08、44761.46平方米国有建设用地使用权网上挂牌出让条件的函2020.12.18(1) - 副本_页面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龙农函[2020]119—122号  关于调整1527.80、2889.64、17754.08、44761.46平方米国有建设用地使用权网上挂牌出让条件的函2020.12.18(1) - 副本_页面_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5172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1725" cy="5272405"/>
            <wp:effectExtent l="0" t="0" r="4445" b="15875"/>
            <wp:docPr id="14" name="图片 14" descr="龙农函[2020]119—122号  关于调整1527.80、2889.64、17754.08、44761.46平方米国有建设用地使用权网上挂牌出让条件的函2020.12.18(1) - 副本_页面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龙农函[2020]119—122号  关于调整1527.80、2889.64、17754.08、44761.46平方米国有建设用地使用权网上挂牌出让条件的函2020.12.18(1) - 副本_页面_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5172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1725" cy="5272405"/>
            <wp:effectExtent l="0" t="0" r="4445" b="15875"/>
            <wp:docPr id="15" name="图片 15" descr="龙农函[2020]119—122号  关于调整1527.80、2889.64、17754.08、44761.46平方米国有建设用地使用权网上挂牌出让条件的函2020.12.18(1) - 副本_页面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龙农函[2020]119—122号  关于调整1527.80、2889.64、17754.08、44761.46平方米国有建设用地使用权网上挂牌出让条件的函2020.12.18(1) - 副本_页面_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5172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1725" cy="5272405"/>
            <wp:effectExtent l="0" t="0" r="4445" b="15875"/>
            <wp:docPr id="16" name="图片 16" descr="龙农函[2020]119—122号  关于调整1527.80、2889.64、17754.08、44761.46平方米国有建设用地使用权网上挂牌出让条件的函2020.12.18(1) - 副本_页面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龙农函[2020]119—122号  关于调整1527.80、2889.64、17754.08、44761.46平方米国有建设用地使用权网上挂牌出让条件的函2020.12.18(1) - 副本_页面_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5172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512F70"/>
    <w:rsid w:val="08512F70"/>
    <w:rsid w:val="73BD4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2020-12-23T07:36:00Z</dcterms:created>
  <dc:creator> 翼 </dc:creator>
  <cp:lastModifiedBy>佐宇</cp:lastModifiedBy>
  <dcterms:modified xsi:type="dcterms:W3CDTF">2020-12-23T08:51:27Z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