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惠州市惠阳区秋长街道白石村下屋股份经济合作社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秋长街道白石村地段</w:t>
      </w:r>
      <w:r>
        <w:rPr>
          <w:rFonts w:hint="eastAsia" w:ascii="宋体" w:hAnsi="宋体"/>
          <w:bCs/>
          <w:color w:val="auto"/>
          <w:sz w:val="24"/>
          <w:szCs w:val="24"/>
        </w:rPr>
        <w:t>，总面积</w:t>
      </w:r>
      <w:r>
        <w:rPr>
          <w:rFonts w:hint="eastAsia" w:ascii="宋体" w:hAnsi="宋体"/>
          <w:bCs/>
          <w:color w:val="auto"/>
          <w:sz w:val="24"/>
          <w:szCs w:val="24"/>
          <w:lang w:val="en-US" w:eastAsia="zh-CN"/>
        </w:rPr>
        <w:t>6746</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21</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3020198</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惠州市惠阳区秋长街道白石村下屋股份经济合作社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w:t>
      </w:r>
      <w:r>
        <w:rPr>
          <w:rFonts w:hint="eastAsia" w:ascii="宋体" w:hAnsi="宋体"/>
          <w:bCs/>
          <w:color w:val="auto"/>
          <w:sz w:val="24"/>
          <w:szCs w:val="24"/>
          <w:lang w:val="en-US" w:eastAsia="zh-CN"/>
        </w:rPr>
        <w:t>及相关土地权益</w:t>
      </w:r>
      <w:r>
        <w:rPr>
          <w:rFonts w:hint="eastAsia" w:ascii="宋体" w:hAnsi="宋体"/>
          <w:bCs/>
          <w:color w:val="auto"/>
          <w:sz w:val="24"/>
          <w:szCs w:val="24"/>
        </w:rPr>
        <w:t>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1、甲乙双方一致同意，项目取得首期预售许可证时，按照</w:t>
      </w:r>
      <w:r>
        <w:rPr>
          <w:rFonts w:hint="eastAsia" w:ascii="宋体" w:hAnsi="宋体"/>
          <w:bCs/>
          <w:color w:val="000000" w:themeColor="text1"/>
          <w:sz w:val="24"/>
          <w:szCs w:val="24"/>
          <w:highlight w:val="none"/>
          <w:lang w:val="en-US" w:eastAsia="zh-CN"/>
          <w14:textFill>
            <w14:solidFill>
              <w14:schemeClr w14:val="tx1"/>
            </w14:solidFill>
          </w14:textFill>
        </w:rPr>
        <w:t>项目</w:t>
      </w:r>
      <w:r>
        <w:rPr>
          <w:rFonts w:hint="eastAsia" w:ascii="宋体" w:hAnsi="宋体"/>
          <w:bCs/>
          <w:color w:val="000000" w:themeColor="text1"/>
          <w:sz w:val="24"/>
          <w:szCs w:val="24"/>
          <w:highlight w:val="none"/>
          <w14:textFill>
            <w14:solidFill>
              <w14:schemeClr w14:val="tx1"/>
            </w14:solidFill>
          </w14:textFill>
        </w:rPr>
        <w:t>总建筑面积</w:t>
      </w:r>
      <w:r>
        <w:rPr>
          <w:rFonts w:hint="eastAsia" w:ascii="宋体" w:hAnsi="宋体"/>
          <w:bCs/>
          <w:color w:val="000000" w:themeColor="text1"/>
          <w:sz w:val="24"/>
          <w:szCs w:val="24"/>
          <w:highlight w:val="none"/>
          <w:lang w:val="en-US" w:eastAsia="zh-CN"/>
          <w14:textFill>
            <w14:solidFill>
              <w14:schemeClr w14:val="tx1"/>
            </w14:solidFill>
          </w14:textFill>
        </w:rPr>
        <w:t>20149.2</w:t>
      </w:r>
      <w:r>
        <w:rPr>
          <w:rFonts w:hint="eastAsia" w:ascii="宋体" w:hAnsi="宋体"/>
          <w:bCs/>
          <w:color w:val="000000" w:themeColor="text1"/>
          <w:sz w:val="24"/>
          <w:szCs w:val="24"/>
          <w:highlight w:val="none"/>
          <w14:textFill>
            <w14:solidFill>
              <w14:schemeClr w14:val="tx1"/>
            </w14:solidFill>
          </w14:textFill>
        </w:rPr>
        <w:t>平方米</w:t>
      </w:r>
      <w:r>
        <w:rPr>
          <w:rFonts w:hint="eastAsia" w:ascii="宋体" w:hAnsi="宋体"/>
          <w:bCs/>
          <w:color w:val="000000" w:themeColor="text1"/>
          <w:sz w:val="24"/>
          <w:szCs w:val="24"/>
          <w:highlight w:val="none"/>
          <w:lang w:val="en-US" w:eastAsia="zh-CN"/>
          <w14:textFill>
            <w14:solidFill>
              <w14:schemeClr w14:val="tx1"/>
            </w14:solidFill>
          </w14:textFill>
        </w:rPr>
        <w:t>23％进行分配</w:t>
      </w:r>
      <w:r>
        <w:rPr>
          <w:rFonts w:hint="eastAsia" w:ascii="宋体" w:hAnsi="宋体"/>
          <w:bCs/>
          <w:color w:val="000000" w:themeColor="text1"/>
          <w:sz w:val="24"/>
          <w:szCs w:val="24"/>
          <w:highlight w:val="none"/>
          <w14:textFill>
            <w14:solidFill>
              <w14:schemeClr w14:val="tx1"/>
            </w14:solidFill>
          </w14:textFill>
        </w:rPr>
        <w:t>，甲方可分得总建筑面积</w:t>
      </w:r>
      <w:r>
        <w:rPr>
          <w:rFonts w:hint="eastAsia" w:ascii="宋体" w:hAnsi="宋体"/>
          <w:bCs/>
          <w:color w:val="000000" w:themeColor="text1"/>
          <w:sz w:val="24"/>
          <w:szCs w:val="24"/>
          <w:highlight w:val="none"/>
          <w:lang w:val="en-US" w:eastAsia="zh-CN"/>
          <w14:textFill>
            <w14:solidFill>
              <w14:schemeClr w14:val="tx1"/>
            </w14:solidFill>
          </w14:textFill>
        </w:rPr>
        <w:t>为4634.32</w:t>
      </w:r>
      <w:r>
        <w:rPr>
          <w:rFonts w:hint="eastAsia" w:ascii="宋体" w:hAnsi="宋体"/>
          <w:bCs/>
          <w:color w:val="000000" w:themeColor="text1"/>
          <w:sz w:val="24"/>
          <w:szCs w:val="24"/>
          <w:highlight w:val="none"/>
          <w14:textFill>
            <w14:solidFill>
              <w14:schemeClr w14:val="tx1"/>
            </w14:solidFill>
          </w14:textFill>
        </w:rPr>
        <w:t>平方米，其中商</w:t>
      </w:r>
      <w:r>
        <w:rPr>
          <w:rFonts w:hint="eastAsia" w:ascii="宋体" w:hAnsi="宋体"/>
          <w:bCs/>
          <w:color w:val="000000" w:themeColor="text1"/>
          <w:sz w:val="24"/>
          <w:szCs w:val="24"/>
          <w:highlight w:val="none"/>
          <w:lang w:val="en-US" w:eastAsia="zh-CN"/>
          <w14:textFill>
            <w14:solidFill>
              <w14:schemeClr w14:val="tx1"/>
            </w14:solidFill>
          </w14:textFill>
        </w:rPr>
        <w:t>业463.43</w:t>
      </w:r>
      <w:r>
        <w:rPr>
          <w:rFonts w:hint="eastAsia" w:ascii="宋体" w:hAnsi="宋体"/>
          <w:bCs/>
          <w:color w:val="000000" w:themeColor="text1"/>
          <w:sz w:val="24"/>
          <w:szCs w:val="24"/>
          <w:highlight w:val="none"/>
          <w14:textFill>
            <w14:solidFill>
              <w14:schemeClr w14:val="tx1"/>
            </w14:solidFill>
          </w14:textFill>
        </w:rPr>
        <w:t>平方米、住宅</w:t>
      </w:r>
      <w:r>
        <w:rPr>
          <w:rFonts w:hint="eastAsia" w:ascii="宋体" w:hAnsi="宋体"/>
          <w:bCs/>
          <w:color w:val="000000" w:themeColor="text1"/>
          <w:sz w:val="24"/>
          <w:szCs w:val="24"/>
          <w:highlight w:val="none"/>
          <w:lang w:val="en-US" w:eastAsia="zh-CN"/>
          <w14:textFill>
            <w14:solidFill>
              <w14:schemeClr w14:val="tx1"/>
            </w14:solidFill>
          </w14:textFill>
        </w:rPr>
        <w:t>4170.89</w:t>
      </w:r>
      <w:r>
        <w:rPr>
          <w:rFonts w:hint="eastAsia" w:ascii="宋体" w:hAnsi="宋体"/>
          <w:bCs/>
          <w:color w:val="000000" w:themeColor="text1"/>
          <w:sz w:val="24"/>
          <w:szCs w:val="24"/>
          <w:highlight w:val="none"/>
          <w14:textFill>
            <w14:solidFill>
              <w14:schemeClr w14:val="tx1"/>
            </w14:solidFill>
          </w14:textFill>
        </w:rPr>
        <w:t>平方米以及相应的停车位，</w:t>
      </w:r>
      <w:r>
        <w:rPr>
          <w:rFonts w:hint="eastAsia" w:ascii="宋体" w:hAnsi="宋体"/>
          <w:bCs/>
          <w:color w:val="000000" w:themeColor="text1"/>
          <w:sz w:val="24"/>
          <w:szCs w:val="24"/>
          <w:highlight w:val="none"/>
          <w:lang w:val="en-US" w:eastAsia="zh-CN"/>
          <w14:textFill>
            <w14:solidFill>
              <w14:schemeClr w14:val="tx1"/>
            </w14:solidFill>
          </w14:textFill>
        </w:rPr>
        <w:t>但公共配套建筑不予分配，最终甲方按照项目总可售面积23％进行分配，</w:t>
      </w:r>
      <w:r>
        <w:rPr>
          <w:rFonts w:hint="eastAsia" w:ascii="宋体" w:hAnsi="宋体"/>
          <w:bCs/>
          <w:color w:val="000000" w:themeColor="text1"/>
          <w:sz w:val="24"/>
          <w:szCs w:val="24"/>
          <w:highlight w:val="none"/>
          <w14:textFill>
            <w14:solidFill>
              <w14:schemeClr w14:val="tx1"/>
            </w14:solidFill>
          </w14:textFill>
        </w:rPr>
        <w:t>乙方分取</w:t>
      </w:r>
      <w:r>
        <w:rPr>
          <w:rFonts w:hint="eastAsia" w:ascii="宋体" w:hAnsi="宋体"/>
          <w:bCs/>
          <w:color w:val="000000" w:themeColor="text1"/>
          <w:sz w:val="24"/>
          <w:szCs w:val="24"/>
          <w:highlight w:val="none"/>
          <w:lang w:val="en-US" w:eastAsia="zh-CN"/>
          <w14:textFill>
            <w14:solidFill>
              <w14:schemeClr w14:val="tx1"/>
            </w14:solidFill>
          </w14:textFill>
        </w:rPr>
        <w:t>其他</w:t>
      </w:r>
      <w:r>
        <w:rPr>
          <w:rFonts w:hint="eastAsia" w:ascii="宋体" w:hAnsi="宋体"/>
          <w:bCs/>
          <w:color w:val="000000" w:themeColor="text1"/>
          <w:sz w:val="24"/>
          <w:szCs w:val="24"/>
          <w:highlight w:val="none"/>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default"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r>
        <w:rPr>
          <w:rFonts w:hint="eastAsia" w:ascii="宋体" w:hAnsi="宋体" w:cs="Times New Roman"/>
          <w:b/>
          <w:bCs/>
          <w:color w:val="auto"/>
          <w:kern w:val="2"/>
          <w:sz w:val="24"/>
          <w:szCs w:val="24"/>
          <w:u w:val="none"/>
          <w:lang w:val="en-US" w:eastAsia="zh-CN" w:bidi="ar-SA"/>
        </w:rPr>
        <w:t>和村民生活补助费</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乙方在本合同签订之日起</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个工作日向甲方支付人民币</w:t>
      </w:r>
      <w:r>
        <w:rPr>
          <w:rFonts w:hint="eastAsia" w:ascii="宋体" w:hAnsi="宋体"/>
          <w:bCs/>
          <w:color w:val="auto"/>
          <w:sz w:val="24"/>
          <w:szCs w:val="24"/>
          <w:highlight w:val="none"/>
          <w:lang w:val="en-US" w:eastAsia="zh-CN"/>
        </w:rPr>
        <w:t>壹</w:t>
      </w:r>
      <w:bookmarkStart w:id="1" w:name="_GoBack"/>
      <w:bookmarkEnd w:id="1"/>
      <w:r>
        <w:rPr>
          <w:rFonts w:hint="eastAsia" w:ascii="宋体" w:hAnsi="宋体"/>
          <w:bCs/>
          <w:color w:val="auto"/>
          <w:sz w:val="24"/>
          <w:szCs w:val="24"/>
          <w:highlight w:val="none"/>
          <w:lang w:val="en-US" w:eastAsia="zh-CN"/>
        </w:rPr>
        <w:t>佰万</w:t>
      </w:r>
      <w:r>
        <w:rPr>
          <w:rFonts w:hint="eastAsia" w:ascii="宋体" w:hAnsi="宋体"/>
          <w:bCs/>
          <w:color w:val="auto"/>
          <w:sz w:val="24"/>
          <w:szCs w:val="24"/>
          <w:highlight w:val="none"/>
        </w:rPr>
        <w:t>元整</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¥100万元</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的履约保证金。该履约保证金在项目土地开发至取得的《预售许可证》之日起15个工作日内，甲方应一次性不计息方式退还给乙方。</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2、乙方应在本合同</w:t>
      </w:r>
      <w:r>
        <w:rPr>
          <w:rFonts w:hint="eastAsia" w:ascii="宋体" w:hAnsi="宋体"/>
          <w:bCs/>
          <w:color w:val="auto"/>
          <w:sz w:val="24"/>
          <w:szCs w:val="24"/>
          <w:highlight w:val="none"/>
        </w:rPr>
        <w:t>签订之日起</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个工作日向甲方支付人民币</w:t>
      </w:r>
      <w:r>
        <w:rPr>
          <w:rFonts w:hint="eastAsia" w:ascii="宋体" w:hAnsi="宋体"/>
          <w:bCs/>
          <w:color w:val="auto"/>
          <w:sz w:val="24"/>
          <w:szCs w:val="24"/>
          <w:highlight w:val="none"/>
          <w:lang w:val="en-US" w:eastAsia="zh-CN"/>
        </w:rPr>
        <w:t>伍佰壹拾万</w:t>
      </w:r>
      <w:r>
        <w:rPr>
          <w:rFonts w:hint="eastAsia" w:ascii="宋体" w:hAnsi="宋体"/>
          <w:bCs/>
          <w:color w:val="auto"/>
          <w:sz w:val="24"/>
          <w:szCs w:val="24"/>
          <w:highlight w:val="none"/>
        </w:rPr>
        <w:t>元整</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¥510万元</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的</w:t>
      </w:r>
      <w:r>
        <w:rPr>
          <w:rFonts w:hint="eastAsia" w:ascii="宋体" w:hAnsi="宋体"/>
          <w:bCs/>
          <w:color w:val="auto"/>
          <w:sz w:val="24"/>
          <w:szCs w:val="24"/>
          <w:highlight w:val="none"/>
          <w:lang w:val="en-US" w:eastAsia="zh-CN"/>
        </w:rPr>
        <w:t>村民生活补助费。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center"/>
        <w:textAlignment w:val="auto"/>
        <w:rPr>
          <w:rFonts w:hint="eastAsia"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DD1E42"/>
    <w:rsid w:val="054E145C"/>
    <w:rsid w:val="09356967"/>
    <w:rsid w:val="0B526528"/>
    <w:rsid w:val="0E6B53EB"/>
    <w:rsid w:val="14890E07"/>
    <w:rsid w:val="1A161B54"/>
    <w:rsid w:val="1AEE7944"/>
    <w:rsid w:val="1B5C532A"/>
    <w:rsid w:val="1CFF60D0"/>
    <w:rsid w:val="1DF47F37"/>
    <w:rsid w:val="21797F90"/>
    <w:rsid w:val="24C41399"/>
    <w:rsid w:val="27264CD1"/>
    <w:rsid w:val="275A0704"/>
    <w:rsid w:val="27865014"/>
    <w:rsid w:val="2B482376"/>
    <w:rsid w:val="3EFC2CCC"/>
    <w:rsid w:val="4197404C"/>
    <w:rsid w:val="4B4633F2"/>
    <w:rsid w:val="53A27B6F"/>
    <w:rsid w:val="54B556F6"/>
    <w:rsid w:val="5B893C88"/>
    <w:rsid w:val="5E1D3376"/>
    <w:rsid w:val="603B41B5"/>
    <w:rsid w:val="61935819"/>
    <w:rsid w:val="6813657A"/>
    <w:rsid w:val="69171326"/>
    <w:rsid w:val="76CB7FEF"/>
    <w:rsid w:val="775F7D2E"/>
    <w:rsid w:val="7C81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Shan</cp:lastModifiedBy>
  <cp:lastPrinted>2021-01-19T03:40:00Z</cp:lastPrinted>
  <dcterms:modified xsi:type="dcterms:W3CDTF">2021-04-19T09:48:54Z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0310EF71B320461D9BF4D6CA983342F8</vt:lpwstr>
  </property>
</Properties>
</file>