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ascii="方正小标宋_GBK" w:hAnsi="华文中宋" w:eastAsia="方正小标宋_GBK" w:cs="Times New Roman"/>
          <w:b/>
          <w:bCs/>
          <w:spacing w:val="3"/>
          <w:kern w:val="2"/>
          <w:sz w:val="44"/>
          <w:szCs w:val="44"/>
          <w:lang w:val="en-US" w:eastAsia="zh-CN" w:bidi="ar-SA"/>
        </w:rPr>
      </w:pPr>
      <w:r>
        <w:rPr>
          <w:rFonts w:hint="eastAsia" w:ascii="方正小标宋_GBK" w:hAnsi="华文中宋" w:eastAsia="方正小标宋_GBK" w:cs="Times New Roman"/>
          <w:b/>
          <w:bCs/>
          <w:spacing w:val="3"/>
          <w:kern w:val="2"/>
          <w:sz w:val="44"/>
          <w:szCs w:val="44"/>
          <w:lang w:val="en-US" w:eastAsia="zh-CN" w:bidi="ar-SA"/>
        </w:rPr>
        <w:t>惠州市国有建设用地使用权</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eastAsia" w:ascii="方正小标宋_GBK" w:hAnsi="华文中宋" w:eastAsia="方正小标宋_GBK" w:cs="Times New Roman"/>
          <w:b/>
          <w:bCs/>
          <w:spacing w:val="3"/>
          <w:kern w:val="2"/>
          <w:sz w:val="44"/>
          <w:szCs w:val="44"/>
          <w:lang w:val="en-US" w:eastAsia="zh-CN" w:bidi="ar-SA"/>
        </w:rPr>
      </w:pPr>
      <w:r>
        <w:rPr>
          <w:rFonts w:hint="eastAsia" w:ascii="方正小标宋_GBK" w:hAnsi="华文中宋" w:eastAsia="方正小标宋_GBK" w:cs="Times New Roman"/>
          <w:b/>
          <w:bCs/>
          <w:spacing w:val="3"/>
          <w:kern w:val="2"/>
          <w:sz w:val="44"/>
          <w:szCs w:val="44"/>
          <w:lang w:val="en-US" w:eastAsia="zh-CN" w:bidi="ar-SA"/>
        </w:rPr>
        <w:t>网上挂牌出让须知</w:t>
      </w:r>
    </w:p>
    <w:p>
      <w:pPr>
        <w:pStyle w:val="5"/>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0" w:firstLineChars="0"/>
        <w:jc w:val="center"/>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惠公易土市直[2022]001号</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leftChars="0"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（一）挂牌地块编号：GP202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（二）地块位置：惠州市惠城区水口中心区02-01-02地块（地下空间;</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val="en-US" w:eastAsia="zh-CN"/>
        </w:rPr>
        <w:t>用地</w:t>
      </w:r>
      <w:r>
        <w:rPr>
          <w:rFonts w:hint="eastAsia" w:ascii="仿宋_GB2312" w:hAnsi="仿宋_GB2312" w:eastAsia="仿宋_GB2312" w:cs="仿宋_GB2312"/>
          <w:sz w:val="32"/>
          <w:szCs w:val="32"/>
        </w:rPr>
        <w:t>编号：02-01-02;</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（四）地块范围：平面界址点以《建设用地红线图》为准，宗地竖向界限以《建设用地规划设计条件》（案卷编号：</w:t>
      </w:r>
      <w:r>
        <w:rPr>
          <w:rFonts w:hint="eastAsia" w:ascii="仿宋_GB2312" w:hAnsi="仿宋_GB2312" w:eastAsia="仿宋_GB2312" w:cs="仿宋_GB2312"/>
          <w:sz w:val="32"/>
          <w:szCs w:val="32"/>
          <w:lang w:val="en-US" w:eastAsia="zh-CN"/>
        </w:rPr>
        <w:t>PB20210076</w:t>
      </w:r>
      <w:r>
        <w:rPr>
          <w:rFonts w:hint="eastAsia" w:ascii="仿宋_GB2312" w:hAnsi="仿宋_GB2312" w:eastAsia="仿宋_GB2312" w:cs="仿宋_GB2312"/>
          <w:sz w:val="32"/>
          <w:szCs w:val="32"/>
        </w:rPr>
        <w:t>）规定为准；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（五）宗地使用权面积为：17944.72平方米；</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六</w:t>
      </w:r>
      <w:r>
        <w:rPr>
          <w:rFonts w:hint="eastAsia" w:ascii="仿宋_GB2312" w:hAnsi="仿宋_GB2312" w:eastAsia="仿宋_GB2312" w:cs="仿宋_GB2312"/>
          <w:sz w:val="32"/>
          <w:szCs w:val="32"/>
          <w:highlight w:val="none"/>
        </w:rPr>
        <w:t>）土地用途为：交通服务场站用地；</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七</w:t>
      </w:r>
      <w:r>
        <w:rPr>
          <w:rFonts w:hint="eastAsia" w:ascii="仿宋_GB2312" w:hAnsi="仿宋_GB2312" w:eastAsia="仿宋_GB2312" w:cs="仿宋_GB2312"/>
          <w:sz w:val="32"/>
          <w:szCs w:val="32"/>
          <w:highlight w:val="none"/>
        </w:rPr>
        <w:t>）土地使用权出让年期为：交通服务场站用地50年；</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）适建性：地面公园绿地、配套体育设施、地下停车场及配套设施；</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机动车停车位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lang w:eastAsia="zh-CN"/>
        </w:rPr>
        <w:t>）：地下一层自走式停车位≥430；</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（十）动工及竣工时间：该地块的动工时间为地块交付之日起</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年内，竣工时间为动工之日起三年内（因不可抗拒因素除外）；</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）竞得人在缴清地价款后一个月内办理交地手续，凭《交地确认书》、《出让合同》（正本）和地价款交款凭证等申请办理土地初始登记，领取《不动产权证书》。</w:t>
      </w:r>
      <w:r>
        <w:rPr>
          <w:rFonts w:hint="eastAsia" w:ascii="宋体" w:hAnsi="宋体" w:eastAsia="宋体" w:cs="宋体"/>
          <w:sz w:val="25"/>
          <w:szCs w:val="25"/>
        </w:rPr>
        <w:t xml:space="preserve">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四、土地开发及使用规定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（一）开发投资总额不少于6100万元（含地价，不含地价溢价部分）。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w:t>
      </w:r>
      <w:r>
        <w:rPr>
          <w:rFonts w:hint="eastAsia" w:ascii="仿宋_GB2312" w:hAnsi="仿宋_GB2312" w:eastAsia="仿宋_GB2312" w:cs="仿宋_GB2312"/>
          <w:color w:val="auto"/>
          <w:sz w:val="32"/>
          <w:szCs w:val="32"/>
        </w:rPr>
        <w:t>土地成交价款须以人民币支付，竞得人须在签订《出让合同》之日起</w:t>
      </w:r>
      <w:r>
        <w:rPr>
          <w:rFonts w:hint="eastAsia" w:ascii="仿宋_GB2312" w:hAnsi="仿宋_GB2312" w:eastAsia="仿宋_GB2312" w:cs="仿宋_GB2312"/>
          <w:color w:val="auto"/>
          <w:sz w:val="32"/>
          <w:szCs w:val="32"/>
          <w:lang w:val="en-US" w:eastAsia="zh-CN"/>
        </w:rPr>
        <w:t>30日</w:t>
      </w:r>
      <w:r>
        <w:rPr>
          <w:rFonts w:hint="eastAsia" w:ascii="仿宋_GB2312" w:hAnsi="仿宋_GB2312" w:eastAsia="仿宋_GB2312" w:cs="仿宋_GB2312"/>
          <w:color w:val="auto"/>
          <w:sz w:val="32"/>
          <w:szCs w:val="32"/>
        </w:rPr>
        <w:t>内缴清土地成交价款</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）竞得人在用地红线内开发建设必须符合城市规划要求，必须按《</w:t>
      </w:r>
      <w:r>
        <w:rPr>
          <w:rFonts w:hint="eastAsia" w:ascii="仿宋_GB2312" w:hAnsi="仿宋_GB2312" w:eastAsia="仿宋_GB2312" w:cs="仿宋_GB2312"/>
          <w:sz w:val="32"/>
          <w:szCs w:val="32"/>
          <w:lang w:eastAsia="zh-CN"/>
        </w:rPr>
        <w:t>建设用地规划设计条件</w:t>
      </w:r>
      <w:r>
        <w:rPr>
          <w:rFonts w:hint="eastAsia" w:ascii="仿宋_GB2312" w:hAnsi="仿宋_GB2312" w:eastAsia="仿宋_GB2312" w:cs="仿宋_GB2312"/>
          <w:sz w:val="32"/>
          <w:szCs w:val="32"/>
        </w:rPr>
        <w:t>》（案卷编号：</w:t>
      </w:r>
      <w:r>
        <w:rPr>
          <w:rFonts w:hint="eastAsia" w:ascii="Times New Roman" w:hAnsi="Times New Roman" w:eastAsia="仿宋_GB2312" w:cs="Times New Roman"/>
          <w:sz w:val="32"/>
          <w:szCs w:val="32"/>
          <w:lang w:val="en-US" w:eastAsia="zh-CN"/>
        </w:rPr>
        <w:t>PB20210076</w:t>
      </w:r>
      <w:r>
        <w:rPr>
          <w:rFonts w:hint="eastAsia" w:ascii="仿宋_GB2312" w:hAnsi="仿宋_GB2312" w:eastAsia="仿宋_GB2312" w:cs="仿宋_GB2312"/>
          <w:sz w:val="32"/>
          <w:szCs w:val="32"/>
        </w:rPr>
        <w:t>）规划控制指标要求及有关规定进行规划设计。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val="en-US" w:eastAsia="zh-CN"/>
        </w:rPr>
        <w:t>四</w:t>
      </w:r>
      <w:r>
        <w:rPr>
          <w:rFonts w:hint="eastAsia" w:ascii="仿宋_GB2312" w:hAnsi="仿宋" w:eastAsia="仿宋_GB2312" w:cs="仿宋_GB2312"/>
          <w:color w:val="000000"/>
          <w:sz w:val="32"/>
          <w:szCs w:val="32"/>
        </w:rPr>
        <w:t>）</w:t>
      </w:r>
      <w:r>
        <w:rPr>
          <w:rFonts w:hint="eastAsia" w:ascii="仿宋_GB2312" w:hAnsi="仿宋_GB2312" w:eastAsia="仿宋_GB2312" w:cs="仿宋_GB2312"/>
          <w:sz w:val="32"/>
          <w:szCs w:val="32"/>
        </w:rPr>
        <w:t>竞得人</w:t>
      </w:r>
      <w:r>
        <w:rPr>
          <w:rFonts w:hint="eastAsia" w:ascii="仿宋_GB2312" w:hAnsi="仿宋" w:eastAsia="仿宋_GB2312" w:cs="仿宋_GB2312"/>
          <w:color w:val="000000"/>
          <w:sz w:val="32"/>
          <w:szCs w:val="32"/>
        </w:rPr>
        <w:t>应按照《建设用地规划设计条件》的规划要求进行建设。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 w:eastAsia="仿宋_GB2312" w:cs="仿宋_GB2312"/>
          <w:color w:val="000000"/>
          <w:sz w:val="32"/>
          <w:szCs w:val="32"/>
        </w:rPr>
      </w:pPr>
      <w:r>
        <w:rPr>
          <w:rFonts w:hint="eastAsia" w:ascii="仿宋_GB2312" w:hAnsi="仿宋" w:eastAsia="仿宋_GB2312" w:cs="仿宋_GB2312"/>
          <w:color w:val="000000"/>
          <w:sz w:val="32"/>
          <w:szCs w:val="32"/>
        </w:rPr>
        <w:t>（</w:t>
      </w:r>
      <w:r>
        <w:rPr>
          <w:rFonts w:hint="eastAsia" w:ascii="仿宋_GB2312" w:hAnsi="仿宋" w:eastAsia="仿宋_GB2312" w:cs="仿宋_GB2312"/>
          <w:color w:val="000000"/>
          <w:sz w:val="32"/>
          <w:szCs w:val="32"/>
          <w:lang w:val="en-US" w:eastAsia="zh-CN"/>
        </w:rPr>
        <w:t>五</w:t>
      </w:r>
      <w:r>
        <w:rPr>
          <w:rFonts w:hint="eastAsia" w:ascii="仿宋_GB2312" w:hAnsi="仿宋" w:eastAsia="仿宋_GB2312" w:cs="仿宋_GB2312"/>
          <w:color w:val="000000"/>
          <w:sz w:val="32"/>
          <w:szCs w:val="32"/>
        </w:rPr>
        <w:t>）地面需要恢复公园绿地并配建体育设施，体育设施包括跑道、7人制足球场、2个网球场、2个篮球场，须由</w:t>
      </w:r>
      <w:r>
        <w:rPr>
          <w:rFonts w:hint="eastAsia" w:ascii="仿宋_GB2312" w:hAnsi="仿宋_GB2312" w:eastAsia="仿宋_GB2312" w:cs="仿宋_GB2312"/>
          <w:sz w:val="32"/>
          <w:szCs w:val="32"/>
        </w:rPr>
        <w:t>竞得人</w:t>
      </w:r>
      <w:r>
        <w:rPr>
          <w:rFonts w:hint="eastAsia" w:ascii="仿宋_GB2312" w:hAnsi="仿宋" w:eastAsia="仿宋_GB2312" w:cs="仿宋_GB2312"/>
          <w:color w:val="000000"/>
          <w:sz w:val="32"/>
          <w:szCs w:val="32"/>
        </w:rPr>
        <w:t>负责建设，建成后须无偿移交给政府相关部门管理，并开放给公众使用。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keepNext w:val="0"/>
        <w:keepLines w:val="0"/>
        <w:pageBreakBefore w:val="0"/>
        <w:widowControl w:val="0"/>
        <w:tabs>
          <w:tab w:val="left" w:pos="1355"/>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highlight w:val="none"/>
        </w:rPr>
        <w:t>中华人民共和国境内外的法人、自然人和其他组织（除法律法规另有规定外）均可申请参加竞买。申请人可以单独申请，也可以联合申请</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left="0"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按时足额交纳竞买保证金。该宗地竞买保证金可用人民币或外币（暂限于美元、港币）支付。以人民币缴交竞买保证金的，须缴交人民币540万元，如以外币缴交竞买保证金的，须缴交美元81万元、港币628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预先办理数字证书。本次国有建设用地使用权网上挂牌出让只能在互联网上，通过惠州市公共资源交易中心土地与矿业网上挂牌交易系统（https://www.hzgtjy.com/，以下简称“网上挂牌交易系统”）进行。只有通过网上注册、办理数字证书、按要求足额交付竞买保证金的申请人，才能参加网上挂牌交易活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（三）申请人及其控股股东存在下列违法、违规、违约行为之一的，不得参与上述地块竞买活动：</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1.存在伪造公文骗取用地和非法倒卖土地等犯罪行为的；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2.存在非法转让土地使用权等违法行为的；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3.因企业原因造成土地闲置一年以上且至报名日止未处罚完结的；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4.开发建设企业有违背出让合同约定条件开发利用土地情形且至报名日止未处罚完结的；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5.至报名日止仍拖欠政府地价款的;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6.被列入问题楼盘开发企业黑名单的;</w:t>
      </w:r>
    </w:p>
    <w:p>
      <w:pPr>
        <w:keepNext w:val="0"/>
        <w:keepLines w:val="0"/>
        <w:pageBreakBefore w:val="0"/>
        <w:widowControl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7.存在其它被禁止竞买土地行为的</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六、违约及处理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default" w:ascii="Times New Roman" w:hAnsi="Times New Roman" w:eastAsia="仿宋_GB2312" w:cs="Times New Roman"/>
          <w:sz w:val="32"/>
          <w:szCs w:val="32"/>
        </w:rPr>
        <w:t>竞得人有下列行为之一的，取消竞得人资格，</w:t>
      </w:r>
      <w:r>
        <w:rPr>
          <w:rFonts w:hint="default" w:ascii="Times New Roman" w:hAnsi="Times New Roman" w:eastAsia="仿宋_GB2312" w:cs="Times New Roman"/>
          <w:sz w:val="32"/>
          <w:szCs w:val="32"/>
          <w:lang w:val="en-US" w:eastAsia="zh-CN"/>
        </w:rPr>
        <w:t>竞买保证金不予退还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并由有关部门依法处理，</w:t>
      </w:r>
      <w:r>
        <w:rPr>
          <w:rFonts w:hint="default" w:ascii="Times New Roman" w:hAnsi="Times New Roman" w:eastAsia="仿宋_GB2312" w:cs="Times New Roman"/>
          <w:sz w:val="32"/>
          <w:szCs w:val="32"/>
        </w:rPr>
        <w:t>造成损失的，竞得人还应依法承担赔偿责任</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（一）不符合竞买资格条件的。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（二）采取行贿、恶意串通等非法手段竞得的。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（三）竞得人以其他非法手段竞得的。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（四）竞得人逾期或拒绝签订《成交确认书》的。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（五）竞得人逾期或拒绝签订《出让合同》的。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（六）不按本须知规定提供有关纸质文件材料，或提供虚假文件材料、隐瞒重要事实，引起交易纠纷的。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outlineLvl w:val="9"/>
      </w:pPr>
      <w:r>
        <w:rPr>
          <w:rFonts w:hint="eastAsia" w:ascii="仿宋_GB2312" w:hAnsi="仿宋_GB2312" w:eastAsia="仿宋_GB2312" w:cs="仿宋_GB2312"/>
          <w:kern w:val="2"/>
          <w:sz w:val="32"/>
          <w:szCs w:val="32"/>
          <w:lang w:val="en-US" w:eastAsia="zh-CN" w:bidi="ar-SA"/>
        </w:rPr>
        <w:t>（七）构成违约责任的其他行为。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七、网上挂牌出让地块的起始价、增加幅度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挂牌起始价为人民币</w:t>
      </w:r>
      <w:r>
        <w:rPr>
          <w:rFonts w:hint="eastAsia" w:ascii="仿宋_GB2312" w:hAnsi="仿宋_GB2312" w:eastAsia="仿宋_GB2312" w:cs="仿宋_GB2312"/>
          <w:kern w:val="2"/>
          <w:sz w:val="32"/>
          <w:szCs w:val="32"/>
          <w:u w:val="single"/>
          <w:lang w:val="en-US" w:eastAsia="zh-CN" w:bidi="ar-SA"/>
        </w:rPr>
        <w:t>壹仟捌佰万元整</w:t>
      </w:r>
      <w:r>
        <w:rPr>
          <w:rFonts w:hint="eastAsia" w:ascii="仿宋_GB2312" w:hAnsi="仿宋_GB2312" w:eastAsia="仿宋_GB2312" w:cs="仿宋_GB2312"/>
          <w:kern w:val="2"/>
          <w:sz w:val="32"/>
          <w:szCs w:val="32"/>
          <w:lang w:val="en-US" w:eastAsia="zh-CN" w:bidi="ar-SA"/>
        </w:rPr>
        <w:t>（大写）（￥</w:t>
      </w:r>
      <w:r>
        <w:rPr>
          <w:rFonts w:hint="eastAsia" w:ascii="仿宋_GB2312" w:hAnsi="仿宋_GB2312" w:eastAsia="仿宋_GB2312" w:cs="仿宋_GB2312"/>
          <w:kern w:val="2"/>
          <w:sz w:val="32"/>
          <w:szCs w:val="32"/>
          <w:u w:val="single"/>
          <w:lang w:val="en-US" w:eastAsia="zh-CN" w:bidi="ar-SA"/>
        </w:rPr>
        <w:t>18</w:t>
      </w:r>
      <w:r>
        <w:rPr>
          <w:rFonts w:hint="eastAsia" w:ascii="仿宋_GB2312" w:hAnsi="仿宋_GB2312" w:eastAsia="仿宋_GB2312" w:cs="仿宋_GB2312"/>
          <w:sz w:val="32"/>
          <w:szCs w:val="32"/>
          <w:u w:val="single"/>
        </w:rPr>
        <w:t>00</w:t>
      </w:r>
      <w:r>
        <w:rPr>
          <w:rFonts w:hint="eastAsia" w:ascii="仿宋_GB2312" w:hAnsi="仿宋_GB2312" w:eastAsia="仿宋_GB2312" w:cs="仿宋_GB2312"/>
          <w:kern w:val="2"/>
          <w:sz w:val="32"/>
          <w:szCs w:val="32"/>
          <w:lang w:val="en-US" w:eastAsia="zh-CN" w:bidi="ar-SA"/>
        </w:rPr>
        <w:t>万元）,增价幅度为人民币</w:t>
      </w:r>
      <w:r>
        <w:rPr>
          <w:rFonts w:hint="eastAsia" w:ascii="仿宋_GB2312" w:hAnsi="仿宋_GB2312" w:eastAsia="仿宋_GB2312" w:cs="仿宋_GB2312"/>
          <w:kern w:val="2"/>
          <w:sz w:val="32"/>
          <w:szCs w:val="32"/>
          <w:u w:val="single"/>
          <w:lang w:val="en-US" w:eastAsia="zh-CN" w:bidi="ar-SA"/>
        </w:rPr>
        <w:t>伍拾万元</w:t>
      </w:r>
      <w:r>
        <w:rPr>
          <w:rFonts w:hint="eastAsia" w:ascii="仿宋_GB2312" w:hAnsi="仿宋_GB2312" w:eastAsia="仿宋_GB2312" w:cs="仿宋_GB2312"/>
          <w:kern w:val="2"/>
          <w:sz w:val="32"/>
          <w:szCs w:val="32"/>
          <w:lang w:val="en-US" w:eastAsia="zh-CN" w:bidi="ar-SA"/>
        </w:rPr>
        <w:t>（大写）（￥</w:t>
      </w:r>
      <w:r>
        <w:rPr>
          <w:rFonts w:hint="eastAsia" w:ascii="仿宋_GB2312" w:hAnsi="仿宋_GB2312" w:eastAsia="仿宋_GB2312" w:cs="仿宋_GB2312"/>
          <w:kern w:val="2"/>
          <w:sz w:val="32"/>
          <w:szCs w:val="32"/>
          <w:u w:val="single"/>
          <w:lang w:val="en-US" w:eastAsia="zh-CN" w:bidi="ar-SA"/>
        </w:rPr>
        <w:t>50</w:t>
      </w:r>
      <w:r>
        <w:rPr>
          <w:rFonts w:hint="eastAsia" w:ascii="仿宋_GB2312" w:hAnsi="仿宋_GB2312" w:eastAsia="仿宋_GB2312" w:cs="仿宋_GB2312"/>
          <w:kern w:val="2"/>
          <w:sz w:val="32"/>
          <w:szCs w:val="32"/>
          <w:lang w:val="en-US" w:eastAsia="zh-CN" w:bidi="ar-SA"/>
        </w:rPr>
        <w:t>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八、本次网上挂牌出让活动有关时间</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网上挂牌时间为10个工作日，不包括法定节假日。具体如下：</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（一）网上挂牌起始时间：2022年1月21日9时。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（二）网上挂牌截止时间：2022年2月9日10时。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（三）网上挂牌交纳保证金截止时间：2022年2月9日9时。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（四）网上挂牌报价时间：网上挂牌起止时间内。</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九、挂牌文件获取</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申请人可在网上挂牌交易系统浏览或下载本次网上挂牌出让文件，具体包括：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惠州市国有建设用地使用权网上挂牌出让公告；</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2、惠州市国有建设用地使用权网上挂牌出让须知；</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挂牌出让地块现状图；</w:t>
      </w:r>
    </w:p>
    <w:p>
      <w:pPr>
        <w:tabs>
          <w:tab w:val="left" w:pos="3388"/>
        </w:tabs>
        <w:spacing w:line="560" w:lineRule="exact"/>
        <w:ind w:firstLine="64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4、红线图；</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color w:val="auto"/>
          <w:sz w:val="32"/>
          <w:szCs w:val="32"/>
        </w:rPr>
        <w:t>《建设用地规划设计条件》（案卷编号：PB20210076）</w:t>
      </w:r>
      <w:r>
        <w:rPr>
          <w:rFonts w:hint="eastAsia" w:ascii="仿宋_GB2312" w:hAnsi="仿宋_GB2312" w:eastAsia="仿宋_GB2312" w:cs="仿宋_GB2312"/>
          <w:sz w:val="32"/>
          <w:szCs w:val="32"/>
        </w:rPr>
        <w:t>；</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惠州市</w:t>
      </w:r>
      <w:r>
        <w:rPr>
          <w:rFonts w:hint="eastAsia" w:ascii="仿宋_GB2312" w:hAnsi="仿宋_GB2312" w:eastAsia="仿宋_GB2312" w:cs="仿宋_GB2312"/>
          <w:sz w:val="32"/>
          <w:szCs w:val="32"/>
          <w:lang w:val="en-US" w:eastAsia="zh-CN"/>
        </w:rPr>
        <w:t>国有建设用地使用权电子挂牌</w:t>
      </w:r>
      <w:r>
        <w:rPr>
          <w:rFonts w:hint="eastAsia" w:ascii="仿宋_GB2312" w:hAnsi="仿宋_GB2312" w:eastAsia="仿宋_GB2312" w:cs="仿宋_GB2312"/>
          <w:sz w:val="32"/>
          <w:szCs w:val="32"/>
        </w:rPr>
        <w:t>交易成交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（以下简称“成交</w:t>
      </w:r>
      <w:r>
        <w:rPr>
          <w:rFonts w:hint="eastAsia" w:ascii="仿宋_GB2312" w:hAnsi="仿宋_GB2312" w:eastAsia="仿宋_GB2312" w:cs="仿宋_GB2312"/>
          <w:sz w:val="32"/>
          <w:szCs w:val="32"/>
          <w:lang w:val="en-US" w:eastAsia="zh-CN"/>
        </w:rPr>
        <w:t>确认</w:t>
      </w:r>
      <w:r>
        <w:rPr>
          <w:rFonts w:hint="eastAsia" w:ascii="仿宋_GB2312" w:hAnsi="仿宋_GB2312" w:eastAsia="仿宋_GB2312" w:cs="仿宋_GB2312"/>
          <w:sz w:val="32"/>
          <w:szCs w:val="32"/>
        </w:rPr>
        <w:t>书”）样本；</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《国有建设用地使用权出让合同》（以下简称“出让合同”）样本；</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sz w:val="32"/>
          <w:szCs w:val="32"/>
          <w:lang w:val="en-US" w:eastAsia="zh-CN"/>
        </w:rPr>
        <w:t>8、其他相关文件</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十、办理数字证书</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办理数字证书是参加本宗地网上挂牌出让活动的必经程序，申请人应当携带相关有效证件到广东省数字证书认证中心惠州办理点（地址：广东省惠州市惠城区三新北路31号市民服务中心3号楼惠州市公共资源交易中心一楼大厅1号土地与矿业交易窗口，电话：</w:t>
      </w:r>
      <w:r>
        <w:rPr>
          <w:rFonts w:hint="eastAsia" w:ascii="仿宋_GB2312" w:hAnsi="仿宋_GB2312" w:eastAsia="仿宋_GB2312" w:cs="仿宋_GB2312"/>
          <w:sz w:val="32"/>
          <w:szCs w:val="32"/>
        </w:rPr>
        <w:t>0752-7121029</w:t>
      </w:r>
      <w:r>
        <w:rPr>
          <w:rFonts w:hint="eastAsia" w:ascii="仿宋_GB2312" w:hAnsi="仿宋_GB2312" w:eastAsia="仿宋_GB2312" w:cs="仿宋_GB2312"/>
          <w:sz w:val="32"/>
          <w:szCs w:val="32"/>
          <w:highlight w:val="none"/>
        </w:rPr>
        <w:t>）申请办理。</w:t>
      </w:r>
    </w:p>
    <w:p>
      <w:pPr>
        <w:keepNext w:val="0"/>
        <w:keepLines w:val="0"/>
        <w:pageBreakBefore w:val="0"/>
        <w:widowControl w:val="0"/>
        <w:tabs>
          <w:tab w:val="left" w:pos="3388"/>
        </w:tabs>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数字证书的办理流程详见网上挂牌交易系统上的《数字证书办理指南》</w:t>
      </w:r>
      <w:r>
        <w:rPr>
          <w:rFonts w:hint="eastAsia" w:ascii="仿宋_GB2312" w:hAnsi="仿宋_GB2312" w:eastAsia="仿宋_GB2312" w:cs="仿宋_GB2312"/>
          <w:sz w:val="32"/>
          <w:szCs w:val="32"/>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十一、答疑及现场踏勘</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申请人对网上挂牌出让文件有疑问的，可在网上挂牌活动开始前以书面或者口头方式向本中心咨询。有意竞买者可自行踏勘现场。（可在网上查阅位置图和现状图）。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十二、竞买保证金</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（一）竞买保证金是申请人参加网上挂牌交易活动的资格条件。按规定将竞买保证金汇入指定账户，是参加网上挂牌交易活动的必经程序。</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（二）本宗地竞买保证金到账截止时间为2022年2月9日9时整，竞买保证金为人民币</w:t>
      </w:r>
      <w:r>
        <w:rPr>
          <w:rFonts w:hint="eastAsia" w:ascii="仿宋_GB2312" w:hAnsi="仿宋_GB2312" w:eastAsia="仿宋_GB2312" w:cs="仿宋_GB2312"/>
          <w:kern w:val="2"/>
          <w:sz w:val="32"/>
          <w:szCs w:val="32"/>
          <w:u w:val="single"/>
          <w:lang w:val="en-US" w:eastAsia="zh-CN" w:bidi="ar-SA"/>
        </w:rPr>
        <w:t>贰佰肆拾万元整</w:t>
      </w:r>
      <w:r>
        <w:rPr>
          <w:rFonts w:hint="eastAsia" w:ascii="仿宋_GB2312" w:hAnsi="仿宋_GB2312" w:eastAsia="仿宋_GB2312" w:cs="仿宋_GB2312"/>
          <w:kern w:val="2"/>
          <w:sz w:val="32"/>
          <w:szCs w:val="32"/>
          <w:lang w:val="en-US" w:eastAsia="zh-CN" w:bidi="ar-SA"/>
        </w:rPr>
        <w:t>（￥</w:t>
      </w:r>
      <w:r>
        <w:rPr>
          <w:rFonts w:hint="eastAsia" w:ascii="仿宋_GB2312" w:hAnsi="仿宋_GB2312" w:eastAsia="仿宋_GB2312" w:cs="仿宋_GB2312"/>
          <w:kern w:val="2"/>
          <w:sz w:val="32"/>
          <w:szCs w:val="32"/>
          <w:u w:val="single"/>
          <w:lang w:val="en-US" w:eastAsia="zh-CN" w:bidi="ar-SA"/>
        </w:rPr>
        <w:t>540</w:t>
      </w:r>
      <w:r>
        <w:rPr>
          <w:rFonts w:hint="eastAsia" w:ascii="仿宋_GB2312" w:hAnsi="仿宋_GB2312" w:eastAsia="仿宋_GB2312" w:cs="仿宋_GB2312"/>
          <w:kern w:val="2"/>
          <w:sz w:val="32"/>
          <w:szCs w:val="32"/>
          <w:lang w:val="en-US" w:eastAsia="zh-CN" w:bidi="ar-SA"/>
        </w:rPr>
        <w:t>万元）；如以外币缴交竞买保证金的，须缴交美元</w:t>
      </w:r>
      <w:r>
        <w:rPr>
          <w:rFonts w:hint="eastAsia" w:ascii="仿宋_GB2312" w:hAnsi="仿宋_GB2312" w:eastAsia="仿宋_GB2312" w:cs="仿宋_GB2312"/>
          <w:kern w:val="2"/>
          <w:sz w:val="32"/>
          <w:szCs w:val="32"/>
          <w:u w:val="single"/>
          <w:lang w:val="en-US" w:eastAsia="zh-CN" w:bidi="ar-SA"/>
        </w:rPr>
        <w:t>叁拾捌万元整</w:t>
      </w:r>
      <w:r>
        <w:rPr>
          <w:rFonts w:hint="eastAsia" w:ascii="仿宋_GB2312" w:hAnsi="仿宋_GB2312" w:eastAsia="仿宋_GB2312" w:cs="仿宋_GB2312"/>
          <w:kern w:val="2"/>
          <w:sz w:val="32"/>
          <w:szCs w:val="32"/>
          <w:lang w:val="en-US" w:eastAsia="zh-CN" w:bidi="ar-SA"/>
        </w:rPr>
        <w:t>(USD</w:t>
      </w:r>
      <w:r>
        <w:rPr>
          <w:rFonts w:hint="eastAsia" w:ascii="仿宋_GB2312" w:hAnsi="仿宋_GB2312" w:eastAsia="仿宋_GB2312" w:cs="仿宋_GB2312"/>
          <w:kern w:val="2"/>
          <w:sz w:val="32"/>
          <w:szCs w:val="32"/>
          <w:u w:val="single"/>
          <w:lang w:val="en-US" w:eastAsia="zh-CN" w:bidi="ar-SA"/>
        </w:rPr>
        <w:t>81</w:t>
      </w:r>
      <w:r>
        <w:rPr>
          <w:rFonts w:hint="eastAsia" w:ascii="仿宋_GB2312" w:hAnsi="仿宋_GB2312" w:eastAsia="仿宋_GB2312" w:cs="仿宋_GB2312"/>
          <w:kern w:val="2"/>
          <w:sz w:val="32"/>
          <w:szCs w:val="32"/>
          <w:lang w:val="en-US" w:eastAsia="zh-CN" w:bidi="ar-SA"/>
        </w:rPr>
        <w:t>万元）或港币</w:t>
      </w:r>
      <w:r>
        <w:rPr>
          <w:rFonts w:hint="eastAsia" w:ascii="仿宋_GB2312" w:hAnsi="仿宋_GB2312" w:eastAsia="仿宋_GB2312" w:cs="仿宋_GB2312"/>
          <w:kern w:val="2"/>
          <w:sz w:val="32"/>
          <w:szCs w:val="32"/>
          <w:u w:val="single"/>
          <w:lang w:val="en-US" w:eastAsia="zh-CN" w:bidi="ar-SA"/>
        </w:rPr>
        <w:t>贰佰玖拾万元整</w:t>
      </w:r>
      <w:r>
        <w:rPr>
          <w:rFonts w:hint="eastAsia" w:ascii="仿宋_GB2312" w:hAnsi="仿宋_GB2312" w:eastAsia="仿宋_GB2312" w:cs="仿宋_GB2312"/>
          <w:kern w:val="2"/>
          <w:sz w:val="32"/>
          <w:szCs w:val="32"/>
          <w:lang w:val="en-US" w:eastAsia="zh-CN" w:bidi="ar-SA"/>
        </w:rPr>
        <w:t>(HKD</w:t>
      </w:r>
      <w:r>
        <w:rPr>
          <w:rFonts w:hint="eastAsia" w:ascii="仿宋_GB2312" w:hAnsi="仿宋_GB2312" w:eastAsia="仿宋_GB2312" w:cs="仿宋_GB2312"/>
          <w:kern w:val="2"/>
          <w:sz w:val="32"/>
          <w:szCs w:val="32"/>
          <w:u w:val="single"/>
          <w:lang w:val="en-US" w:eastAsia="zh-CN" w:bidi="ar-SA"/>
        </w:rPr>
        <w:t>628</w:t>
      </w:r>
      <w:r>
        <w:rPr>
          <w:rFonts w:hint="eastAsia" w:ascii="仿宋_GB2312" w:hAnsi="仿宋_GB2312" w:eastAsia="仿宋_GB2312" w:cs="仿宋_GB2312"/>
          <w:kern w:val="2"/>
          <w:sz w:val="32"/>
          <w:szCs w:val="32"/>
          <w:lang w:val="en-US" w:eastAsia="zh-CN" w:bidi="ar-SA"/>
        </w:rPr>
        <w:t>万元）。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（三）竞买人应当提前交纳竞买保证金以确保在到账截止时间前到账，超过到账截止时间的保证金，网上挂牌交易系统将不予受理，造成的损失由竞买人自行承担。</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（四）跨地区或跨行转账的竞买人，需预足资金的在途时间，以免影响竞买人及时取得竞买资格。</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（五）竞买保证金到账时间以网上挂牌交易系统颁发《保证金到账通知书》为准。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（六）竞买保证金开户单位：惠州市公共资源交易中心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竞买保证金账号：网上挂牌交易系统随机产生子账号。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开户银行：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1、中国建设银行惠州广场支行。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2、中国银行惠州分行。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3、中国工商银行股份有限公司惠州富力国际中心支行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4、中国农业银行惠州分行。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5、广发银行惠州江北支行。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6、交通银行惠州分行。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7、惠州市农村商业银行股份有限公司惠城支行。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8、上海浦东发展银行股份有限公司惠州分行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9、中国民生银行股份有限公司惠州分行。</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10、中信银行股份有限公司惠州分行。(备注:中信银行股份有限公司惠州分行本行转账须到银行柜面办理)。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十三、网上报价规则</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（一）本次网上挂牌以增价方式进行报价，每次加价幅度为本须知规定增价幅度的整数倍。</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（二）竞买人的首次报价不低于起始价，此后的竞买人报价须高于报价当时的最新网上挂牌价格，并以增价幅度的整数倍加价。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（三）竞买人通过网上挂牌交易提交的报价一经报出，不得撤回。</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（四）在报价期间，竞买人可多次报价。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（五）在报价期内，竞买人必须进行一次有效报价，才能参加网上限时竞价。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（六）竞买人报价有下列情形之一的，为无效报价：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1、报价未在网上挂牌期限内收到的。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2、报价因竞买人网络故障未在网上挂牌报价期限内收到的。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3、报价不符合报价规则的。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4、报价低于网上挂牌起始价的。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5、报价不符合网上挂牌公告、须知及相关交易文件规定的其他情形。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pPr>
      <w:r>
        <w:rPr>
          <w:rFonts w:hint="eastAsia" w:ascii="仿宋_GB2312" w:hAnsi="仿宋_GB2312" w:eastAsia="仿宋_GB2312" w:cs="仿宋_GB2312"/>
          <w:b/>
          <w:bCs/>
          <w:kern w:val="2"/>
          <w:sz w:val="32"/>
          <w:szCs w:val="32"/>
          <w:lang w:val="en-US" w:eastAsia="zh-CN" w:bidi="ar-SA"/>
        </w:rPr>
        <w:t>十四、系统操作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土地与矿业交易系统竞买人操作视频可在本中心网上挂牌交易系统（https://www.hzgtjy.com/）下载。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十五、网上挂牌程序</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（一）公布网上挂牌信息</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我中心将有关宗地的位置、面积、用途、使用年期、规划要求、起始价、增价规则及增价幅度等予以公布。</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有意竞买者可登录惠州市公共资源交易中心土地与矿业网上挂牌交易系统网站(https://www.hzgtjy.com/)查询。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（二）申请竞买</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（三）交纳保证金</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（四）网上挂牌报价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1、网上挂牌交易从网上挂牌起始时间起开始接受报价。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2、办理好数字证书、按时足额交付竞买保证金并经网上挂牌交易系统确认的竞买人通过网上挂牌交易系统进行报价。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3、网上挂牌交易系统对符合规定的报价予以确认，并更新显示当前报价。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4、网上挂牌交易系统继续接受新的报价。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5、网上挂牌报价规则见《须知》第十三条。</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（五）网上挂牌截止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1、网上挂牌交易系统将在网上挂牌截止时间自动确定网上挂牌截止。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2、网上挂牌交易期限截止时，无人报价的，挂牌不成交。</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3、网上挂牌交易期限截止时，只有1个竞买人报价，且报价不低于起始价的，挂牌成交，该报价者为竞得人。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5分钟限时竞价内没有新的报价，网上挂牌交易系统将自动关闭报价通道，当前最高报价为最终报价，网上挂牌交易系统确认最高报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网上限时竞价中无人报价的，以网上挂牌截止时出价最高且报价不低于起始价者为竞得人。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经网上挂牌交易系统询问完毕后，没有竞买人表示愿意继续竞价的，以网上挂牌交易截止时报价最高且报价不低于起始价者为竞得人。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（六）资格审查和签订《成交确认书》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w:t>
      </w:r>
      <w:r>
        <w:rPr>
          <w:rFonts w:hint="eastAsia" w:ascii="仿宋_GB2312" w:hAnsi="仿宋_GB2312" w:eastAsia="仿宋_GB2312" w:cs="仿宋_GB2312"/>
          <w:sz w:val="32"/>
          <w:szCs w:val="32"/>
          <w:highlight w:val="none"/>
        </w:rPr>
        <w:t>网上挂牌交易结束后，竞得人应当自行下载打印《竞买申请书》、《竞价结果通知书》</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《竞买保证金到账通知书》并盖章</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w:t>
      </w:r>
      <w:r>
        <w:rPr>
          <w:rFonts w:hint="eastAsia" w:ascii="仿宋_GB2312" w:hAnsi="仿宋_GB2312" w:eastAsia="仿宋_GB2312" w:cs="仿宋_GB2312"/>
          <w:sz w:val="32"/>
          <w:szCs w:val="32"/>
          <w:highlight w:val="none"/>
        </w:rPr>
        <w:t>竞</w:t>
      </w:r>
      <w:r>
        <w:rPr>
          <w:rFonts w:hint="eastAsia" w:ascii="仿宋_GB2312" w:hAnsi="仿宋_GB2312" w:eastAsia="仿宋_GB2312" w:cs="仿宋_GB2312"/>
          <w:sz w:val="32"/>
          <w:szCs w:val="32"/>
          <w:highlight w:val="none"/>
          <w:lang w:val="en-US" w:eastAsia="zh-CN"/>
        </w:rPr>
        <w:t>得</w:t>
      </w:r>
      <w:r>
        <w:rPr>
          <w:rFonts w:hint="eastAsia" w:ascii="仿宋_GB2312" w:hAnsi="仿宋_GB2312" w:eastAsia="仿宋_GB2312" w:cs="仿宋_GB2312"/>
          <w:sz w:val="32"/>
          <w:szCs w:val="32"/>
          <w:highlight w:val="none"/>
        </w:rPr>
        <w:t>人应当在网上挂牌交易结果公布</w:t>
      </w:r>
      <w:r>
        <w:rPr>
          <w:rFonts w:hint="eastAsia" w:ascii="仿宋_GB2312" w:hAnsi="仿宋_GB2312" w:eastAsia="仿宋_GB2312" w:cs="仿宋_GB2312"/>
          <w:sz w:val="32"/>
          <w:szCs w:val="32"/>
          <w:highlight w:val="none"/>
          <w:lang w:val="en-US" w:eastAsia="zh-CN"/>
        </w:rPr>
        <w:t>之日起5</w:t>
      </w:r>
      <w:r>
        <w:rPr>
          <w:rFonts w:hint="eastAsia" w:ascii="仿宋_GB2312" w:hAnsi="仿宋_GB2312" w:eastAsia="仿宋_GB2312" w:cs="仿宋_GB2312"/>
          <w:sz w:val="32"/>
          <w:szCs w:val="32"/>
          <w:highlight w:val="none"/>
        </w:rPr>
        <w:t>个工作</w:t>
      </w:r>
      <w:r>
        <w:rPr>
          <w:rFonts w:hint="eastAsia" w:ascii="仿宋_GB2312" w:hAnsi="仿宋_GB2312" w:eastAsia="仿宋_GB2312" w:cs="仿宋_GB2312"/>
          <w:color w:val="auto"/>
          <w:sz w:val="32"/>
          <w:szCs w:val="32"/>
          <w:highlight w:val="none"/>
        </w:rPr>
        <w:t>日内持公司公章及下列有关纸质材料到本中心</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由委托方进行资格审查，符合竞买资格的，竞得人应当</w:t>
      </w:r>
      <w:r>
        <w:rPr>
          <w:rFonts w:hint="eastAsia" w:ascii="仿宋_GB2312" w:hAnsi="仿宋_GB2312" w:eastAsia="仿宋_GB2312" w:cs="仿宋_GB2312"/>
          <w:color w:val="auto"/>
          <w:sz w:val="32"/>
          <w:szCs w:val="32"/>
          <w:highlight w:val="none"/>
        </w:rPr>
        <w:t>在网上挂牌交易结果公布</w:t>
      </w:r>
      <w:r>
        <w:rPr>
          <w:rFonts w:hint="eastAsia" w:ascii="仿宋_GB2312" w:hAnsi="仿宋_GB2312" w:eastAsia="仿宋_GB2312" w:cs="仿宋_GB2312"/>
          <w:color w:val="auto"/>
          <w:sz w:val="32"/>
          <w:szCs w:val="32"/>
          <w:highlight w:val="none"/>
          <w:lang w:val="en-US" w:eastAsia="zh-CN"/>
        </w:rPr>
        <w:t>之日起5</w:t>
      </w:r>
      <w:r>
        <w:rPr>
          <w:rFonts w:hint="eastAsia" w:ascii="仿宋_GB2312" w:hAnsi="仿宋_GB2312" w:eastAsia="仿宋_GB2312" w:cs="仿宋_GB2312"/>
          <w:color w:val="auto"/>
          <w:sz w:val="32"/>
          <w:szCs w:val="32"/>
          <w:highlight w:val="none"/>
        </w:rPr>
        <w:t>个工作日内</w:t>
      </w:r>
      <w:r>
        <w:rPr>
          <w:rFonts w:hint="eastAsia" w:ascii="仿宋_GB2312" w:hAnsi="仿宋_GB2312" w:eastAsia="仿宋_GB2312" w:cs="仿宋_GB2312"/>
          <w:color w:val="auto"/>
          <w:sz w:val="32"/>
          <w:szCs w:val="32"/>
          <w:highlight w:val="none"/>
          <w:lang w:val="en-US" w:eastAsia="zh-CN"/>
        </w:rPr>
        <w:t>签订</w:t>
      </w:r>
      <w:r>
        <w:rPr>
          <w:rFonts w:hint="eastAsia" w:ascii="仿宋_GB2312" w:hAnsi="仿宋_GB2312" w:eastAsia="仿宋_GB2312" w:cs="仿宋_GB2312"/>
          <w:color w:val="auto"/>
          <w:sz w:val="32"/>
          <w:szCs w:val="32"/>
          <w:highlight w:val="none"/>
        </w:rPr>
        <w:t>《成交确认书》</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（1）《竞买申请书》（加盖公章）。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（2）《竞价结果通知书》（加盖公章）。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（3）《竞买保证金到账通知书》（加盖公章）。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（4）转账凭证复印件（加盖公章）。</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（5）申请竞买人有效的《营业执照》复印件（加盖公章）（二份）。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（6）法定代表人身份证复印件（加盖公章）（二份）。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（7）授权他人代理的授权委托书及代理人身份证复印件（核对原件）。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（8）联合竞买协议（联合竞买的提供）。</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（9）竞买人及其控股股东不存在违法、违规、违约行为的承诺书。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上述第（7）、（9）项材料须使用本中心标准样本，可在本系统的“挂牌文件”中下载。</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竞买人如需保存上述竞买报名资料应自留备份，本中心不予退还。</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联合竞买协议要约定联合各方的权利和义务。必须明确表达参与联合竞买的各方、参与竞买的代表人、联合各方的出资比例和签订《出让合同》时的受让人。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上述文件中，申请书必须用中文书写，其他文件可以使用其它语言，但必须附中文译本，所有文件的解释以中文译本为准。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（七）网上挂牌出让结果公示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pPr>
      <w:r>
        <w:rPr>
          <w:rFonts w:hint="eastAsia" w:ascii="仿宋_GB2312" w:hAnsi="仿宋_GB2312" w:eastAsia="仿宋_GB2312" w:cs="仿宋_GB2312"/>
          <w:kern w:val="2"/>
          <w:sz w:val="32"/>
          <w:szCs w:val="32"/>
          <w:lang w:val="en-US" w:eastAsia="zh-CN" w:bidi="ar-SA"/>
        </w:rPr>
        <w:t>我中心将在本次国有建设用地使用权网上挂牌出让活动结束后10个工作日内，在中国土地市场网、惠州市公共资源交易中心网和本中心电子显示屏公布本次国有土地使用权网上挂牌出让结果。</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十六、注意事项</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（二）本次国有建设用地使用权网上挂牌出让为无底价挂牌出让，按照价高者得的原则确定竞得人。</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highlight w:val="none"/>
        </w:rPr>
        <w:t>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新公司的股东必须100%是竞买申请企业作为法人的股东。根据挂牌出让结果，可先与竞得人签订《出让合同》，在竞得人按约定办理完新公司注册登记手续后，再与新公司签订国有建设用地使用权出让合同补充条款，也可按约定直接与新公司签订《出让合同》</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出让合同》，在竞得人按约定办理完新公司注册登记手续后，再与新公司签订国有建设用地使用权出让合同补充条款；也可按约定直接与新公司签订《出让合同》。并以新公司名义办理土地登记发证手续，不能按联合申请人各自出资比例分割办证。如对联合竞买申请人的开发资质条件有明确要求的，在审查联合竞买申请人资质时，以联合体内资质最低一方的资质确定竞买资格条件。</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（五）确定竞得人后，竞得人持《竞价结果通知书》以及参加本宗地网上挂牌交易的所须资料到惠州市公共资源交易中心土地矿业交易部申办相关成交确认手续。</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《竞价结果通知书》对挂牌人和竞得人具有法律效力，挂牌人改变网上挂牌结果的，或者竞得人放弃竞得宗地的，应当承担相应法律责任。</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网上挂牌系统确定成交后，竞得人缴纳的竞买保证金按成交价的10%转作定金。如竞买保证金不足以缴纳定金，不足部分在交易系统确定成交之日起5个工作日内补齐；如竞买保证金转作定金后有剩余，余额抵作土地成交价的预付款。竞得人签订《出让合同》后，定金可抵作土地成交价款，余额转作成交价款。</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以外币缴交竞买保证金的，扣除定金后余额部分返回给竞得人，待竞得人按时缴清成交价款后，再将定金退还，不计利息。</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rPr>
        <w:t>未竞得人缴纳的竞买保证金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以人民币缴纳的竞买保证金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将</w:t>
      </w:r>
      <w:r>
        <w:rPr>
          <w:rFonts w:hint="eastAsia" w:ascii="仿宋_GB2312" w:hAnsi="仿宋_GB2312" w:eastAsia="仿宋_GB2312" w:cs="仿宋_GB2312"/>
          <w:sz w:val="32"/>
          <w:szCs w:val="32"/>
        </w:rPr>
        <w:t>于电子挂牌交易活动结束</w:t>
      </w:r>
      <w:r>
        <w:rPr>
          <w:rFonts w:hint="eastAsia" w:ascii="仿宋_GB2312" w:hAnsi="仿宋_GB2312" w:eastAsia="仿宋_GB2312" w:cs="仿宋_GB2312"/>
          <w:sz w:val="32"/>
          <w:szCs w:val="32"/>
          <w:lang w:val="en-US" w:eastAsia="zh-CN"/>
        </w:rPr>
        <w:t>之日起</w:t>
      </w:r>
      <w:r>
        <w:rPr>
          <w:rFonts w:hint="eastAsia" w:ascii="仿宋_GB2312" w:hAnsi="仿宋_GB2312" w:eastAsia="仿宋_GB2312" w:cs="仿宋_GB2312"/>
          <w:sz w:val="32"/>
          <w:szCs w:val="32"/>
        </w:rPr>
        <w:t>5个工作日内</w:t>
      </w:r>
      <w:r>
        <w:rPr>
          <w:rFonts w:hint="eastAsia" w:ascii="仿宋_GB2312" w:hAnsi="仿宋_GB2312" w:eastAsia="仿宋_GB2312" w:cs="仿宋_GB2312"/>
          <w:sz w:val="32"/>
          <w:szCs w:val="32"/>
          <w:lang w:val="en-US" w:eastAsia="zh-CN"/>
        </w:rPr>
        <w:t>通过网上退还的形式原路退还保证金</w:t>
      </w:r>
      <w:r>
        <w:rPr>
          <w:rFonts w:hint="eastAsia" w:ascii="仿宋_GB2312" w:hAnsi="仿宋_GB2312" w:eastAsia="仿宋_GB2312" w:cs="仿宋_GB2312"/>
          <w:color w:val="000000"/>
          <w:sz w:val="32"/>
          <w:szCs w:val="32"/>
        </w:rPr>
        <w:t>，不计利息</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color w:val="000000"/>
          <w:kern w:val="2"/>
          <w:sz w:val="32"/>
          <w:szCs w:val="32"/>
          <w:highlight w:val="none"/>
          <w:shd w:val="clear" w:color="auto" w:fill="auto"/>
          <w:lang w:val="en-US" w:eastAsia="zh-CN" w:bidi="ar-SA"/>
        </w:rPr>
        <w:t>竞得人应当在《成交确认书》签订之日起10个工作日内与出让人签订《出让合同》</w:t>
      </w:r>
      <w:r>
        <w:rPr>
          <w:rFonts w:hint="eastAsia" w:ascii="仿宋_GB2312" w:hAnsi="仿宋_GB2312" w:eastAsia="仿宋_GB2312" w:cs="仿宋_GB2312"/>
          <w:kern w:val="2"/>
          <w:sz w:val="32"/>
          <w:szCs w:val="32"/>
          <w:lang w:val="en-US" w:eastAsia="zh-CN" w:bidi="ar-SA"/>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sz w:val="32"/>
          <w:szCs w:val="32"/>
          <w:highlight w:val="none"/>
          <w:shd w:val="clear" w:color="auto" w:fill="auto"/>
          <w:lang w:eastAsia="zh-CN"/>
        </w:rPr>
        <w:t>竞得人办理保证金转付地价款手续须带齐相关资料（惠州市非税收入缴款通知、保证金到账通知书、竞价结果通知书、保证金转账凭证）到我中心办理</w:t>
      </w:r>
      <w:r>
        <w:rPr>
          <w:rFonts w:hint="eastAsia" w:ascii="仿宋_GB2312" w:hAnsi="仿宋_GB2312" w:eastAsia="仿宋_GB2312" w:cs="仿宋_GB2312"/>
          <w:b/>
          <w:bCs/>
          <w:sz w:val="32"/>
          <w:szCs w:val="32"/>
          <w:highlight w:val="none"/>
          <w:shd w:val="clear" w:color="auto" w:fill="auto"/>
          <w:lang w:eastAsia="zh-CN"/>
        </w:rPr>
        <w:t>。</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为避免网络延迟问题，竞买人首次出价应在网上挂牌截止前10分钟出价，以防止网上挂牌交易无法及时接收到报价的情况发生。5分钟倒计时竞价期间，请不要在最后时段报价，以防网络延时造成报价提交不成功。</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（八）有下列情形之一的，本中心将暂停、中止或终止网上挂牌交易活动：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1、网上挂牌交易系统受到网络恶意入侵的。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2、因网上挂牌交易系统遭受破坏或发生电力、网络故障等不可抗力因素，导致网上挂牌交易系统不能正常运行的。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3、网上挂牌交易委托人根据有关规定要求暂停、中止或终止网上挂牌交易活动的。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4、涉及土地或矿业权纠纷，不能及时解决的。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5、司法机关要求暂停、中止或终止网上挂牌交易活动的。</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6、市自然资源管理部门或交易中心认为应当暂停、中止或终止网上挂牌交易活动的其他情形。</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（九）网上挂牌成交价即为该幅地块的总地价款，竞得人除支付成交价款外，还需支付契税、印花税等有关费用。</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（十）竞得人与出让人签订《出让合同》后，应当按出让合同约定支付网上挂牌成交价款。竞得人付清全部网上挂牌成交价款后，依法申请办理土地登记，领取《不动产权证书》。</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（十一）网上挂牌不成交的，应当按规定由委托方和本中心重新组织出让。</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（十二）本中心认为需要对网上挂牌出让须知、公告及相关交易文件作出修改、补充时，将通过原公告发布渠道公告，不作另行通知。</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（十三）本须知及公告涉及的时间期限，以惠州市公共资源交易中心土地与矿业网上挂牌交易系统服务器的时间为准。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（十四）竞买人在本次网上挂牌交易过程中与惠州市公共资源交易中心发生任何争议，由双方协商。协商不成的可依法提交惠州市仲裁机构仲裁解决。</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（十五）本中心对本《须知》有解释权。未尽事宜依照《招标拍卖挂牌出让国有土地使用权规范》办理。</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outlineLvl w:val="9"/>
        <w:rPr>
          <w:rFonts w:hint="eastAsia" w:ascii="仿宋_GB2312" w:hAnsi="仿宋_GB2312" w:eastAsia="仿宋_GB2312" w:cs="仿宋_GB2312"/>
          <w:kern w:val="2"/>
          <w:sz w:val="32"/>
          <w:szCs w:val="32"/>
          <w:lang w:val="en-US" w:eastAsia="zh-CN" w:bidi="ar-SA"/>
        </w:rPr>
      </w:pP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惠州市公共资源交易中心     </w:t>
      </w:r>
    </w:p>
    <w:p>
      <w:pPr>
        <w:pStyle w:val="5"/>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center"/>
        <w:textAlignment w:val="auto"/>
        <w:outlineLvl w:val="9"/>
        <w:rPr>
          <w:rFonts w:hint="default" w:eastAsia="仿宋_GB2312"/>
          <w:lang w:val="en-US" w:eastAsia="zh-CN"/>
        </w:rPr>
      </w:pPr>
      <w:r>
        <w:rPr>
          <w:rFonts w:hint="eastAsia" w:ascii="仿宋_GB2312" w:hAnsi="仿宋_GB2312" w:eastAsia="仿宋_GB2312" w:cs="仿宋_GB2312"/>
          <w:kern w:val="2"/>
          <w:sz w:val="32"/>
          <w:szCs w:val="32"/>
          <w:lang w:val="en-US" w:eastAsia="zh-CN" w:bidi="ar-SA"/>
        </w:rPr>
        <w:t xml:space="preserve">                         2021年12月31</w:t>
      </w:r>
      <w:bookmarkStart w:id="0" w:name="_GoBack"/>
      <w:bookmarkEnd w:id="0"/>
      <w:r>
        <w:rPr>
          <w:rFonts w:hint="eastAsia" w:ascii="仿宋_GB2312" w:hAnsi="仿宋_GB2312" w:eastAsia="仿宋_GB2312" w:cs="仿宋_GB2312"/>
          <w:kern w:val="2"/>
          <w:sz w:val="32"/>
          <w:szCs w:val="32"/>
          <w:lang w:val="en-US" w:eastAsia="zh-CN" w:bidi="ar-SA"/>
        </w:rPr>
        <w:t>日</w:t>
      </w:r>
      <w:r>
        <w:rPr>
          <w:rFonts w:hint="eastAsia" w:ascii="仿宋_GB2312" w:hAnsi="宋体" w:eastAsia="仿宋_GB2312" w:cs="仿宋_GB2312"/>
          <w:sz w:val="25"/>
          <w:szCs w:val="25"/>
          <w:lang w:val="en-US" w:eastAsia="zh-CN"/>
        </w:rPr>
        <w:t xml:space="preserve">      </w:t>
      </w:r>
    </w:p>
    <w:p>
      <w:pPr>
        <w:keepNext w:val="0"/>
        <w:keepLines w:val="0"/>
        <w:pageBreakBefore w:val="0"/>
        <w:kinsoku/>
        <w:wordWrap/>
        <w:overflowPunct/>
        <w:topLinePunct w:val="0"/>
        <w:autoSpaceDE/>
        <w:autoSpaceDN/>
        <w:bidi w:val="0"/>
        <w:adjustRightInd/>
        <w:snapToGrid/>
        <w:spacing w:line="560" w:lineRule="exact"/>
        <w:ind w:firstLine="420" w:firstLineChars="200"/>
        <w:textAlignment w:val="auto"/>
        <w:outlineLvl w:val="9"/>
      </w:pPr>
    </w:p>
    <w:sectPr>
      <w:footerReference r:id="rId3" w:type="default"/>
      <w:pgSz w:w="11906" w:h="16838"/>
      <w:pgMar w:top="1440" w:right="1485" w:bottom="1440" w:left="1800"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nsolas">
    <w:panose1 w:val="020B0609020204030204"/>
    <w:charset w:val="00"/>
    <w:family w:val="auto"/>
    <w:pitch w:val="default"/>
    <w:sig w:usb0="E00006FF" w:usb1="0000FCFF" w:usb2="00000001" w:usb3="00000000" w:csb0="6000019F" w:csb1="DFD70000"/>
  </w:font>
  <w:font w:name="方正小标宋_GBK">
    <w:altName w:val="微软雅黑"/>
    <w:panose1 w:val="03000509000000000000"/>
    <w:charset w:val="86"/>
    <w:family w:val="script"/>
    <w:pitch w:val="default"/>
    <w:sig w:usb0="00000000" w:usb1="0000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73EF0"/>
    <w:rsid w:val="015725A3"/>
    <w:rsid w:val="0398491D"/>
    <w:rsid w:val="04384988"/>
    <w:rsid w:val="055C6BEA"/>
    <w:rsid w:val="07175A66"/>
    <w:rsid w:val="07A45BF6"/>
    <w:rsid w:val="08E86ED8"/>
    <w:rsid w:val="0CAF17E0"/>
    <w:rsid w:val="0D1C29A0"/>
    <w:rsid w:val="0E467742"/>
    <w:rsid w:val="15937805"/>
    <w:rsid w:val="16462F87"/>
    <w:rsid w:val="1E247C15"/>
    <w:rsid w:val="1F973EF0"/>
    <w:rsid w:val="22004C98"/>
    <w:rsid w:val="223076A9"/>
    <w:rsid w:val="240D702E"/>
    <w:rsid w:val="248E76E5"/>
    <w:rsid w:val="24C02DB3"/>
    <w:rsid w:val="29FA3586"/>
    <w:rsid w:val="2AAB2AC2"/>
    <w:rsid w:val="2E611C84"/>
    <w:rsid w:val="2E6361D5"/>
    <w:rsid w:val="309B7B70"/>
    <w:rsid w:val="33A6006B"/>
    <w:rsid w:val="33B40EC2"/>
    <w:rsid w:val="35B67291"/>
    <w:rsid w:val="36C9207F"/>
    <w:rsid w:val="377D59C2"/>
    <w:rsid w:val="389E78B3"/>
    <w:rsid w:val="3A3B75E9"/>
    <w:rsid w:val="3AA2318F"/>
    <w:rsid w:val="3B6E17C4"/>
    <w:rsid w:val="3E910382"/>
    <w:rsid w:val="45622B90"/>
    <w:rsid w:val="45B02BB7"/>
    <w:rsid w:val="46AD3B2D"/>
    <w:rsid w:val="478005E7"/>
    <w:rsid w:val="49196790"/>
    <w:rsid w:val="49DD3017"/>
    <w:rsid w:val="4A2729E7"/>
    <w:rsid w:val="4FDF4DC1"/>
    <w:rsid w:val="50B63888"/>
    <w:rsid w:val="5AC8320D"/>
    <w:rsid w:val="60B43735"/>
    <w:rsid w:val="60EA1037"/>
    <w:rsid w:val="615E04BA"/>
    <w:rsid w:val="62F10449"/>
    <w:rsid w:val="63D72A3D"/>
    <w:rsid w:val="66DD7F49"/>
    <w:rsid w:val="67FD0B6C"/>
    <w:rsid w:val="68AE7C4A"/>
    <w:rsid w:val="69FE57C5"/>
    <w:rsid w:val="6B6B28E3"/>
    <w:rsid w:val="6C65261E"/>
    <w:rsid w:val="6CC001F7"/>
    <w:rsid w:val="6DFF3A04"/>
    <w:rsid w:val="74CC0343"/>
    <w:rsid w:val="76CC2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Normal Indent"/>
    <w:basedOn w:val="1"/>
    <w:qFormat/>
    <w:uiPriority w:val="0"/>
    <w:pPr>
      <w:spacing w:line="360" w:lineRule="auto"/>
      <w:ind w:firstLine="420"/>
    </w:pPr>
    <w:rPr>
      <w:sz w:val="28"/>
      <w:szCs w:val="20"/>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7">
    <w:name w:val="Strong"/>
    <w:basedOn w:val="6"/>
    <w:qFormat/>
    <w:uiPriority w:val="0"/>
    <w:rPr>
      <w:b/>
    </w:rPr>
  </w:style>
  <w:style w:type="character" w:styleId="8">
    <w:name w:val="FollowedHyperlink"/>
    <w:basedOn w:val="6"/>
    <w:qFormat/>
    <w:uiPriority w:val="0"/>
    <w:rPr>
      <w:color w:val="337AB7"/>
      <w:u w:val="none"/>
    </w:rPr>
  </w:style>
  <w:style w:type="character" w:styleId="9">
    <w:name w:val="HTML Definition"/>
    <w:basedOn w:val="6"/>
    <w:qFormat/>
    <w:uiPriority w:val="0"/>
    <w:rPr>
      <w:i/>
    </w:rPr>
  </w:style>
  <w:style w:type="character" w:styleId="10">
    <w:name w:val="Hyperlink"/>
    <w:basedOn w:val="6"/>
    <w:qFormat/>
    <w:uiPriority w:val="0"/>
    <w:rPr>
      <w:color w:val="337AB7"/>
      <w:u w:val="none"/>
    </w:rPr>
  </w:style>
  <w:style w:type="character" w:styleId="11">
    <w:name w:val="HTML Code"/>
    <w:basedOn w:val="6"/>
    <w:qFormat/>
    <w:uiPriority w:val="0"/>
    <w:rPr>
      <w:rFonts w:ascii="Consolas" w:hAnsi="Consolas" w:eastAsia="Consolas" w:cs="Consolas"/>
      <w:color w:val="C7254E"/>
      <w:sz w:val="21"/>
      <w:szCs w:val="21"/>
      <w:shd w:val="clear" w:fill="F9F2F4"/>
    </w:rPr>
  </w:style>
  <w:style w:type="character" w:styleId="12">
    <w:name w:val="HTML Keyboard"/>
    <w:basedOn w:val="6"/>
    <w:qFormat/>
    <w:uiPriority w:val="0"/>
    <w:rPr>
      <w:rFonts w:hint="default" w:ascii="Consolas" w:hAnsi="Consolas" w:eastAsia="Consolas" w:cs="Consolas"/>
      <w:color w:val="FFFFFF"/>
      <w:sz w:val="21"/>
      <w:szCs w:val="21"/>
      <w:shd w:val="clear" w:fill="333333"/>
    </w:rPr>
  </w:style>
  <w:style w:type="character" w:styleId="13">
    <w:name w:val="HTML Sample"/>
    <w:basedOn w:val="6"/>
    <w:qFormat/>
    <w:uiPriority w:val="0"/>
    <w:rPr>
      <w:rFonts w:hint="default" w:ascii="Consolas" w:hAnsi="Consolas" w:eastAsia="Consolas" w:cs="Consolas"/>
      <w:sz w:val="21"/>
      <w:szCs w:val="21"/>
    </w:rPr>
  </w:style>
  <w:style w:type="character" w:customStyle="1" w:styleId="15">
    <w:name w:val="first-child"/>
    <w:basedOn w:val="6"/>
    <w:qFormat/>
    <w:uiPriority w:val="0"/>
  </w:style>
  <w:style w:type="character" w:customStyle="1" w:styleId="16">
    <w:name w:val="actspan2"/>
    <w:basedOn w:val="6"/>
    <w:qFormat/>
    <w:uiPriority w:val="0"/>
  </w:style>
  <w:style w:type="character" w:customStyle="1" w:styleId="17">
    <w:name w:val="layui-layer-tabnow"/>
    <w:basedOn w:val="6"/>
    <w:qFormat/>
    <w:uiPriority w:val="0"/>
    <w:rPr>
      <w:bdr w:val="single" w:color="CCCCCC" w:sz="4" w:space="0"/>
      <w:shd w:val="clear" w:fill="FFFFFF"/>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市委办</Company>
  <Pages>1</Pages>
  <Words>0</Words>
  <Characters>0</Characters>
  <Lines>0</Lines>
  <Paragraphs>0</Paragraphs>
  <TotalTime>3</TotalTime>
  <ScaleCrop>false</ScaleCrop>
  <LinksUpToDate>false</LinksUpToDate>
  <CharactersWithSpaces>0</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2021-08-10T02:46:00Z</dcterms:created>
  <dc:creator>杨惠丹</dc:creator>
  <cp:lastModifiedBy>杨惠丹</cp:lastModifiedBy>
  <cp:lastPrinted>2021-12-31T09:05:00Z</cp:lastPrinted>
  <dcterms:modified xsi:type="dcterms:W3CDTF">2021-12-31T09:54:32Z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