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autoSpaceDE/>
        <w:autoSpaceDN/>
        <w:bidi w:val="0"/>
        <w:spacing w:line="440" w:lineRule="exact"/>
        <w:jc w:val="center"/>
        <w:textAlignment w:val="auto"/>
        <w:rPr>
          <w:rFonts w:hint="eastAsia" w:ascii="Times New Roman" w:hAnsi="Times New Roman" w:eastAsia="仿宋_GB2312" w:cs="方正小标宋简体"/>
          <w:b w:val="0"/>
          <w:bCs w:val="0"/>
          <w:color w:val="auto"/>
          <w:spacing w:val="3"/>
          <w:sz w:val="44"/>
          <w:szCs w:val="44"/>
          <w:highlight w:val="none"/>
        </w:rPr>
      </w:pPr>
      <w:bookmarkStart w:id="0" w:name="_GoBack"/>
      <w:r>
        <w:rPr>
          <w:rFonts w:hint="eastAsia" w:ascii="Times New Roman" w:hAnsi="Times New Roman" w:eastAsia="仿宋_GB2312" w:cs="方正小标宋简体"/>
          <w:b w:val="0"/>
          <w:bCs w:val="0"/>
          <w:color w:val="auto"/>
          <w:spacing w:val="3"/>
          <w:sz w:val="44"/>
          <w:szCs w:val="44"/>
          <w:highlight w:val="none"/>
        </w:rPr>
        <w:t>惠州市</w:t>
      </w:r>
      <w:r>
        <w:rPr>
          <w:rFonts w:hint="eastAsia" w:ascii="Times New Roman" w:hAnsi="Times New Roman" w:eastAsia="仿宋_GB2312" w:cs="方正小标宋简体"/>
          <w:b w:val="0"/>
          <w:bCs w:val="0"/>
          <w:color w:val="auto"/>
          <w:spacing w:val="3"/>
          <w:sz w:val="44"/>
          <w:szCs w:val="44"/>
          <w:highlight w:val="none"/>
          <w:lang w:eastAsia="zh-CN"/>
        </w:rPr>
        <w:t>龙门县</w:t>
      </w:r>
      <w:r>
        <w:rPr>
          <w:rFonts w:hint="eastAsia" w:ascii="Times New Roman" w:hAnsi="Times New Roman" w:eastAsia="仿宋_GB2312" w:cs="方正小标宋简体"/>
          <w:b w:val="0"/>
          <w:bCs w:val="0"/>
          <w:color w:val="auto"/>
          <w:spacing w:val="3"/>
          <w:sz w:val="44"/>
          <w:szCs w:val="44"/>
          <w:highlight w:val="none"/>
        </w:rPr>
        <w:t>国有建设用地使用权</w:t>
      </w:r>
    </w:p>
    <w:p>
      <w:pPr>
        <w:keepNext w:val="0"/>
        <w:keepLines w:val="0"/>
        <w:pageBreakBefore w:val="0"/>
        <w:tabs>
          <w:tab w:val="left" w:pos="11340"/>
        </w:tabs>
        <w:kinsoku/>
        <w:wordWrap/>
        <w:overflowPunct/>
        <w:topLinePunct w:val="0"/>
        <w:autoSpaceDE/>
        <w:autoSpaceDN/>
        <w:bidi w:val="0"/>
        <w:spacing w:line="440" w:lineRule="exact"/>
        <w:ind w:left="4018" w:hanging="4014" w:hangingChars="900"/>
        <w:jc w:val="center"/>
        <w:textAlignment w:val="auto"/>
        <w:rPr>
          <w:rFonts w:hint="eastAsia" w:ascii="Times New Roman" w:hAnsi="Times New Roman" w:eastAsia="仿宋_GB2312" w:cs="方正小标宋简体"/>
          <w:b w:val="0"/>
          <w:bCs w:val="0"/>
          <w:color w:val="auto"/>
          <w:sz w:val="44"/>
          <w:szCs w:val="44"/>
          <w:highlight w:val="none"/>
        </w:rPr>
      </w:pPr>
      <w:r>
        <w:rPr>
          <w:rFonts w:hint="eastAsia" w:ascii="Times New Roman" w:hAnsi="Times New Roman" w:eastAsia="仿宋_GB2312" w:cs="方正小标宋简体"/>
          <w:b w:val="0"/>
          <w:bCs w:val="0"/>
          <w:color w:val="auto"/>
          <w:spacing w:val="3"/>
          <w:sz w:val="44"/>
          <w:szCs w:val="44"/>
          <w:highlight w:val="none"/>
        </w:rPr>
        <w:t>网上挂牌</w:t>
      </w:r>
      <w:r>
        <w:rPr>
          <w:rFonts w:hint="eastAsia" w:ascii="Times New Roman" w:hAnsi="Times New Roman" w:eastAsia="仿宋_GB2312" w:cs="方正小标宋简体"/>
          <w:b w:val="0"/>
          <w:bCs w:val="0"/>
          <w:color w:val="auto"/>
          <w:sz w:val="44"/>
          <w:szCs w:val="44"/>
          <w:highlight w:val="none"/>
        </w:rPr>
        <w:t>出让公告</w:t>
      </w:r>
    </w:p>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龙自然资挂</w:t>
      </w:r>
      <w:r>
        <w:rPr>
          <w:rFonts w:hint="eastAsia" w:ascii="Times New Roman" w:hAnsi="Times New Roman" w:eastAsia="仿宋_GB2312" w:cs="仿宋_GB2312"/>
          <w:b w:val="0"/>
          <w:bCs w:val="0"/>
          <w:color w:val="auto"/>
          <w:sz w:val="32"/>
          <w:szCs w:val="32"/>
          <w:highlight w:val="none"/>
          <w:lang w:eastAsia="zh-CN"/>
        </w:rPr>
        <w:t>﹝202</w:t>
      </w:r>
      <w:r>
        <w:rPr>
          <w:rFonts w:hint="eastAsia" w:ascii="Times New Roman" w:hAnsi="Times New Roman" w:eastAsia="仿宋_GB2312" w:cs="仿宋_GB2312"/>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00</w:t>
      </w:r>
      <w:r>
        <w:rPr>
          <w:rFonts w:hint="eastAsia" w:eastAsia="仿宋_GB2312" w:cs="仿宋_GB2312"/>
          <w:b w:val="0"/>
          <w:bCs w:val="0"/>
          <w:color w:val="auto"/>
          <w:sz w:val="32"/>
          <w:szCs w:val="32"/>
          <w:highlight w:val="none"/>
          <w:lang w:val="en-US" w:eastAsia="zh-CN"/>
        </w:rPr>
        <w:t>5</w:t>
      </w:r>
      <w:r>
        <w:rPr>
          <w:rFonts w:hint="eastAsia" w:ascii="Times New Roman" w:hAnsi="Times New Roman" w:eastAsia="仿宋_GB2312" w:cs="仿宋_GB2312"/>
          <w:b w:val="0"/>
          <w:bCs w:val="0"/>
          <w:color w:val="auto"/>
          <w:sz w:val="32"/>
          <w:szCs w:val="32"/>
          <w:highlight w:val="none"/>
          <w:lang w:eastAsia="zh-CN"/>
        </w:rPr>
        <w:t>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根据《招标拍卖挂牌出让国有建设用地使用权规定》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国土资源部令第39号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和《广东省土地使用权交易市场管理规定》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广东省人民政府令第79号</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的规定，经批准，</w:t>
      </w:r>
      <w:r>
        <w:rPr>
          <w:rFonts w:hint="eastAsia" w:ascii="Times New Roman" w:hAnsi="Times New Roman" w:eastAsia="仿宋_GB2312" w:cs="仿宋_GB2312"/>
          <w:b w:val="0"/>
          <w:bCs w:val="0"/>
          <w:color w:val="auto"/>
          <w:sz w:val="32"/>
          <w:szCs w:val="32"/>
          <w:highlight w:val="none"/>
          <w:lang w:eastAsia="zh-CN"/>
        </w:rPr>
        <w:t>我</w:t>
      </w:r>
      <w:r>
        <w:rPr>
          <w:rFonts w:hint="eastAsia" w:ascii="Times New Roman" w:hAnsi="Times New Roman" w:eastAsia="仿宋_GB2312" w:cs="仿宋_GB2312"/>
          <w:b w:val="0"/>
          <w:bCs w:val="0"/>
          <w:color w:val="auto"/>
          <w:sz w:val="32"/>
          <w:szCs w:val="32"/>
          <w:highlight w:val="none"/>
        </w:rPr>
        <w:t>局决定以网上挂牌方式公开出让</w:t>
      </w:r>
      <w:r>
        <w:rPr>
          <w:rFonts w:hint="eastAsia" w:eastAsia="仿宋_GB2312" w:cs="仿宋_GB2312"/>
          <w:b w:val="0"/>
          <w:bCs w:val="0"/>
          <w:color w:val="auto"/>
          <w:sz w:val="32"/>
          <w:szCs w:val="32"/>
          <w:highlight w:val="none"/>
          <w:lang w:val="en-US" w:eastAsia="zh-CN"/>
        </w:rPr>
        <w:t>1</w:t>
      </w:r>
      <w:r>
        <w:rPr>
          <w:rFonts w:hint="eastAsia" w:ascii="Times New Roman" w:hAnsi="Times New Roman" w:eastAsia="仿宋_GB2312" w:cs="仿宋_GB2312"/>
          <w:b w:val="0"/>
          <w:bCs w:val="0"/>
          <w:color w:val="auto"/>
          <w:sz w:val="32"/>
          <w:szCs w:val="32"/>
          <w:highlight w:val="none"/>
          <w:lang w:eastAsia="zh-CN"/>
        </w:rPr>
        <w:t>宗</w:t>
      </w:r>
      <w:r>
        <w:rPr>
          <w:rFonts w:hint="eastAsia" w:ascii="Times New Roman" w:hAnsi="Times New Roman" w:eastAsia="仿宋_GB2312" w:cs="仿宋_GB2312"/>
          <w:b w:val="0"/>
          <w:bCs w:val="0"/>
          <w:color w:val="auto"/>
          <w:sz w:val="32"/>
          <w:szCs w:val="32"/>
          <w:highlight w:val="none"/>
        </w:rPr>
        <w:t>国有建设用地使用权。现将有关事项公告如下：</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网上挂牌出让地块基本情况及规划指标要求（见附表）</w:t>
      </w:r>
    </w:p>
    <w:p>
      <w:pPr>
        <w:keepNext w:val="0"/>
        <w:keepLines w:val="0"/>
        <w:pageBreakBefore w:val="0"/>
        <w:numPr>
          <w:ilvl w:val="0"/>
          <w:numId w:val="1"/>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挂牌起始价及加价幅度（见附表）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三、时间安排</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（一）公告时间：</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8</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7</w:t>
      </w:r>
      <w:r>
        <w:rPr>
          <w:rFonts w:hint="eastAsia" w:ascii="Times New Roman" w:hAnsi="Times New Roman" w:eastAsia="仿宋_GB2312" w:cs="仿宋_GB2312"/>
          <w:b w:val="0"/>
          <w:bCs w:val="0"/>
          <w:color w:val="auto"/>
          <w:sz w:val="32"/>
          <w:szCs w:val="32"/>
          <w:highlight w:val="none"/>
        </w:rPr>
        <w:t>日至</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8</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27</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lang w:eastAsia="zh-CN"/>
        </w:rPr>
        <w:t>。</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（二）网上挂牌竞买时间：</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u w:val="single"/>
          <w:lang w:val="en-US" w:eastAsia="zh-CN"/>
        </w:rPr>
        <w:t>8</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28</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时至</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u w:val="none"/>
          <w:lang w:val="en-US" w:eastAsia="zh-CN"/>
        </w:rPr>
        <w:t>年</w:t>
      </w:r>
      <w:r>
        <w:rPr>
          <w:rFonts w:hint="eastAsia"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11</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10</w:t>
      </w:r>
      <w:r>
        <w:rPr>
          <w:rFonts w:hint="eastAsia" w:ascii="Times New Roman" w:hAnsi="Times New Roman"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竞买保证金到账截止时间为：</w:t>
      </w:r>
      <w:r>
        <w:rPr>
          <w:rFonts w:hint="eastAsia" w:ascii="Times New Roman" w:hAnsi="Times New Roman" w:eastAsia="仿宋_GB2312" w:cs="仿宋_GB2312"/>
          <w:b w:val="0"/>
          <w:bCs w:val="0"/>
          <w:color w:val="auto"/>
          <w:sz w:val="32"/>
          <w:szCs w:val="32"/>
          <w:highlight w:val="none"/>
          <w:u w:val="single"/>
          <w:lang w:val="en-US" w:eastAsia="zh-CN"/>
        </w:rPr>
        <w:t>2023</w:t>
      </w:r>
      <w:r>
        <w:rPr>
          <w:rFonts w:hint="eastAsia" w:ascii="Times New Roman" w:hAnsi="Times New Roman" w:eastAsia="仿宋_GB2312" w:cs="仿宋_GB2312"/>
          <w:b w:val="0"/>
          <w:bCs w:val="0"/>
          <w:color w:val="auto"/>
          <w:sz w:val="32"/>
          <w:szCs w:val="32"/>
          <w:highlight w:val="none"/>
          <w:u w:val="none"/>
          <w:lang w:val="en-US" w:eastAsia="zh-CN"/>
        </w:rPr>
        <w:t>年</w:t>
      </w:r>
      <w:r>
        <w:rPr>
          <w:rFonts w:hint="eastAsia"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single"/>
          <w:lang w:val="en-US" w:eastAsia="zh-CN"/>
        </w:rPr>
        <w:t>11</w:t>
      </w:r>
      <w:r>
        <w:rPr>
          <w:rFonts w:hint="eastAsia" w:ascii="Times New Roman" w:hAnsi="Times New Roman" w:eastAsia="仿宋_GB2312" w:cs="仿宋_GB2312"/>
          <w:b w:val="0"/>
          <w:bCs w:val="0"/>
          <w:color w:val="auto"/>
          <w:sz w:val="32"/>
          <w:szCs w:val="32"/>
          <w:highlight w:val="none"/>
        </w:rPr>
        <w:t>日</w:t>
      </w:r>
      <w:r>
        <w:rPr>
          <w:rFonts w:hint="eastAsia" w:ascii="Times New Roman" w:hAnsi="Times New Roman" w:eastAsia="仿宋_GB2312" w:cs="仿宋_GB2312"/>
          <w:b w:val="0"/>
          <w:bCs w:val="0"/>
          <w:color w:val="auto"/>
          <w:sz w:val="32"/>
          <w:szCs w:val="32"/>
          <w:highlight w:val="none"/>
          <w:u w:val="single"/>
          <w:lang w:val="en-US" w:eastAsia="zh-CN"/>
        </w:rPr>
        <w:t>9</w:t>
      </w:r>
      <w:r>
        <w:rPr>
          <w:rFonts w:hint="eastAsia" w:ascii="Times New Roman" w:hAnsi="Times New Roman" w:eastAsia="仿宋_GB2312" w:cs="仿宋_GB2312"/>
          <w:b w:val="0"/>
          <w:bCs w:val="0"/>
          <w:color w:val="auto"/>
          <w:sz w:val="32"/>
          <w:szCs w:val="32"/>
          <w:highlight w:val="none"/>
        </w:rPr>
        <w:t>时。</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四、竞买资格及要求</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中华人民共和国境内外的法人、自然人和其他组织，符合竞买资格条件的,均可通过网上挂牌交易系统，申请参加电子挂牌交易活动，法律、法规另有规定的从其规定。</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（一）交纳足额竞买保证金；</w:t>
      </w:r>
    </w:p>
    <w:p>
      <w:pPr>
        <w:pStyle w:val="8"/>
        <w:keepNext w:val="0"/>
        <w:keepLines w:val="0"/>
        <w:pageBreakBefore w:val="0"/>
        <w:widowControl/>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（二）存在下列行为之一的企业及其控股股东，不得参与竞买上述地块：</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1、伪造公文骗取用地行为；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2、非法转让土地使用权行为；</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3、因企业原因造成土地闲置一年以上且至报名日止未处理完结；</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4、未按《国有建设用地使用权出让合同》（以下简称《出让合同》）约定条件开发利用土地且至报名日止未处理完结；</w:t>
      </w:r>
    </w:p>
    <w:p>
      <w:pPr>
        <w:pStyle w:val="8"/>
        <w:keepNext w:val="0"/>
        <w:keepLines w:val="0"/>
        <w:pageBreakBefore w:val="0"/>
        <w:widowControl/>
        <w:kinsoku/>
        <w:wordWrap/>
        <w:overflowPunct/>
        <w:topLinePunct w:val="0"/>
        <w:autoSpaceDE/>
        <w:autoSpaceDN/>
        <w:bidi w:val="0"/>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rPr>
        <w:t>5、至报名日止仍拖欠政府地价款</w:t>
      </w:r>
      <w:r>
        <w:rPr>
          <w:rFonts w:hint="eastAsia" w:ascii="Times New Roman" w:hAnsi="Times New Roman" w:eastAsia="仿宋_GB2312" w:cs="仿宋_GB2312"/>
          <w:b w:val="0"/>
          <w:bCs w:val="0"/>
          <w:color w:val="auto"/>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ind w:firstLine="960" w:firstLineChars="3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五、</w:t>
      </w:r>
      <w:r>
        <w:rPr>
          <w:rFonts w:hint="eastAsia" w:ascii="Times New Roman" w:hAnsi="Times New Roman" w:eastAsia="仿宋_GB2312" w:cs="仿宋_GB2312"/>
          <w:b w:val="0"/>
          <w:bCs w:val="0"/>
          <w:color w:val="auto"/>
          <w:sz w:val="32"/>
          <w:szCs w:val="32"/>
          <w:highlight w:val="none"/>
        </w:rPr>
        <w:t>竞买保证金</w:t>
      </w:r>
    </w:p>
    <w:p>
      <w:pPr>
        <w:pStyle w:val="5"/>
        <w:keepNext w:val="0"/>
        <w:keepLines w:val="0"/>
        <w:pageBreakBefore w:val="0"/>
        <w:widowControl w:val="0"/>
        <w:numPr>
          <w:ilvl w:val="0"/>
          <w:numId w:val="0"/>
        </w:numPr>
        <w:kinsoku/>
        <w:wordWrap/>
        <w:overflowPunct/>
        <w:topLinePunct w:val="0"/>
        <w:autoSpaceDE/>
        <w:autoSpaceDN/>
        <w:bidi w:val="0"/>
        <w:spacing w:before="0" w:line="440" w:lineRule="exact"/>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（一）</w:t>
      </w:r>
      <w:r>
        <w:rPr>
          <w:rFonts w:hint="eastAsia" w:ascii="Times New Roman" w:hAnsi="Times New Roman" w:eastAsia="仿宋_GB2312" w:cs="仿宋_GB2312"/>
          <w:b w:val="0"/>
          <w:bCs w:val="0"/>
          <w:color w:val="auto"/>
          <w:sz w:val="32"/>
          <w:szCs w:val="32"/>
          <w:highlight w:val="none"/>
        </w:rPr>
        <w:t>申请人应当在网上挂牌出让竞买保证金到账截止时间前登录惠州市公共资源交易中心（以下简称“交易中心”）土地与矿业网上挂牌交易系统（以下简称“网上挂牌交易系统”</w:t>
      </w:r>
      <w:r>
        <w:rPr>
          <w:rFonts w:hint="eastAsia" w:ascii="Times New Roman" w:hAnsi="Times New Roman" w:eastAsia="仿宋_GB2312" w:cs="仿宋_GB2312"/>
          <w:i w:val="0"/>
          <w:iCs w:val="0"/>
          <w:caps w:val="0"/>
          <w:color w:val="auto"/>
          <w:spacing w:val="0"/>
          <w:sz w:val="32"/>
          <w:szCs w:val="32"/>
          <w:shd w:val="clear" w:fill="FFFFFF"/>
        </w:rPr>
        <w:t>，网址：https://www.hzgtjy.com/</w:t>
      </w:r>
      <w:r>
        <w:rPr>
          <w:rFonts w:hint="eastAsia" w:ascii="Times New Roman" w:hAnsi="Times New Roman" w:eastAsia="仿宋_GB2312" w:cs="仿宋_GB2312"/>
          <w:b w:val="0"/>
          <w:bCs w:val="0"/>
          <w:color w:val="auto"/>
          <w:sz w:val="32"/>
          <w:szCs w:val="32"/>
          <w:highlight w:val="none"/>
        </w:rPr>
        <w:t>）获取竞买保证金支付账号。</w:t>
      </w:r>
    </w:p>
    <w:p>
      <w:pPr>
        <w:keepNext w:val="0"/>
        <w:keepLines w:val="0"/>
        <w:pageBreakBefore w:val="0"/>
        <w:numPr>
          <w:ilvl w:val="0"/>
          <w:numId w:val="0"/>
        </w:numPr>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竞买保证金到账时间以网上挂牌交易系统确认并发出《保证金到账通知书》为准。</w:t>
      </w:r>
    </w:p>
    <w:p>
      <w:pPr>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六、</w:t>
      </w:r>
      <w:r>
        <w:rPr>
          <w:rFonts w:hint="eastAsia" w:ascii="Times New Roman" w:hAnsi="Times New Roman" w:eastAsia="仿宋_GB2312" w:cs="仿宋_GB2312"/>
          <w:b w:val="0"/>
          <w:bCs w:val="0"/>
          <w:color w:val="auto"/>
          <w:sz w:val="32"/>
          <w:szCs w:val="32"/>
          <w:highlight w:val="none"/>
        </w:rPr>
        <w:t>竞买申请</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可以单独申请，也可以联合申请。</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color w:val="auto"/>
          <w:kern w:val="0"/>
          <w:sz w:val="32"/>
          <w:szCs w:val="32"/>
          <w:lang w:val="en-US" w:eastAsia="zh-CN" w:bidi="ar-SA"/>
        </w:rPr>
        <w:t>（一）单独申请竞买的，竞买申请人为非本县注册登记的企业，在竞得土地后，必须于2个月内在本县市场监督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kern w:val="0"/>
          <w:sz w:val="32"/>
          <w:szCs w:val="32"/>
          <w:lang w:val="en-US" w:eastAsia="zh-CN" w:bidi="ar-SA"/>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县市场监督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4"/>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本宗国有建设用地使用权网上挂牌出让实行竞买资格后置审查。竞买申请人交纳足额竞买保证金即获得竞买报价权限。</w:t>
      </w:r>
    </w:p>
    <w:p>
      <w:pPr>
        <w:pStyle w:val="5"/>
        <w:keepNext w:val="0"/>
        <w:keepLines w:val="0"/>
        <w:pageBreakBefore w:val="0"/>
        <w:widowControl w:val="0"/>
        <w:kinsoku/>
        <w:wordWrap/>
        <w:overflowPunct/>
        <w:topLinePunct w:val="0"/>
        <w:autoSpaceDE/>
        <w:autoSpaceDN/>
        <w:bidi w:val="0"/>
        <w:spacing w:before="0" w:line="440" w:lineRule="exact"/>
        <w:ind w:left="0" w:leftChars="0" w:firstLine="640" w:firstLineChars="200"/>
        <w:jc w:val="both"/>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七、竞买人电子报价及电子限时竞价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kern w:val="0"/>
          <w:sz w:val="32"/>
          <w:szCs w:val="32"/>
          <w:highlight w:val="none"/>
        </w:rPr>
      </w:pPr>
      <w:r>
        <w:rPr>
          <w:rFonts w:hint="eastAsia" w:ascii="Times New Roman" w:hAnsi="Times New Roman" w:eastAsia="仿宋_GB2312" w:cs="仿宋_GB2312"/>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八、确定成交候选人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国有建设用地使用权网上挂牌出让为无底价挂牌，采取价高者得方式出让并确定成交候选人。</w:t>
      </w:r>
    </w:p>
    <w:p>
      <w:pPr>
        <w:pStyle w:val="4"/>
        <w:keepNext w:val="0"/>
        <w:keepLines w:val="0"/>
        <w:pageBreakBefore w:val="0"/>
        <w:kinsoku/>
        <w:wordWrap/>
        <w:overflowPunct/>
        <w:topLinePunct w:val="0"/>
        <w:autoSpaceDE/>
        <w:autoSpaceDN/>
        <w:bidi w:val="0"/>
        <w:spacing w:line="440" w:lineRule="exact"/>
        <w:ind w:firstLine="579" w:firstLineChars="181"/>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九、资格审查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成交候选人应在网上挂牌交易系统确定成交候选人之日起3个工作日内将竞买申请书等材料上传至土地与矿业网上挂牌交易系统，由我局对竞买资格进行审查。我局将于2023年</w:t>
      </w:r>
      <w:r>
        <w:rPr>
          <w:rFonts w:hint="eastAsia" w:eastAsia="仿宋_GB2312" w:cs="仿宋_GB2312"/>
          <w:b w:val="0"/>
          <w:bCs w:val="0"/>
          <w:color w:val="auto"/>
          <w:kern w:val="2"/>
          <w:sz w:val="32"/>
          <w:szCs w:val="32"/>
          <w:highlight w:val="none"/>
          <w:lang w:val="en-US" w:eastAsia="zh-CN" w:bidi="ar-SA"/>
        </w:rPr>
        <w:t>9</w:t>
      </w:r>
      <w:r>
        <w:rPr>
          <w:rFonts w:hint="eastAsia" w:ascii="Times New Roman" w:hAnsi="Times New Roman" w:eastAsia="仿宋_GB2312" w:cs="仿宋_GB2312"/>
          <w:b w:val="0"/>
          <w:bCs w:val="0"/>
          <w:color w:val="auto"/>
          <w:kern w:val="2"/>
          <w:sz w:val="32"/>
          <w:szCs w:val="32"/>
          <w:highlight w:val="none"/>
          <w:lang w:val="en-US" w:eastAsia="zh-CN" w:bidi="ar-SA"/>
        </w:rPr>
        <w:t>月</w:t>
      </w:r>
      <w:r>
        <w:rPr>
          <w:rFonts w:hint="eastAsia" w:eastAsia="仿宋_GB2312" w:cs="仿宋_GB2312"/>
          <w:b w:val="0"/>
          <w:bCs w:val="0"/>
          <w:color w:val="auto"/>
          <w:kern w:val="2"/>
          <w:sz w:val="32"/>
          <w:szCs w:val="32"/>
          <w:highlight w:val="none"/>
          <w:lang w:val="en-US" w:eastAsia="zh-CN" w:bidi="ar-SA"/>
        </w:rPr>
        <w:t>14</w:t>
      </w:r>
      <w:r>
        <w:rPr>
          <w:rFonts w:hint="eastAsia" w:ascii="Times New Roman" w:hAnsi="Times New Roman" w:eastAsia="仿宋_GB2312" w:cs="仿宋_GB2312"/>
          <w:b w:val="0"/>
          <w:bCs w:val="0"/>
          <w:color w:val="auto"/>
          <w:kern w:val="2"/>
          <w:sz w:val="32"/>
          <w:szCs w:val="32"/>
          <w:highlight w:val="none"/>
          <w:lang w:val="en-US" w:eastAsia="zh-CN" w:bidi="ar-SA"/>
        </w:rPr>
        <w:t>日前确定符合竞买资格的成交候选人为竞得人（成交候选人上传材料的具体操作详见网上挂牌交易系统资料下载栏目中的《惠州市公共资源交易中心土地与矿业交易系统新增建设功能操作指南》）。</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成交候选人资格审查须提交下列材料：</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《竞买申请书》（加盖公章）；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《竞价结果通知书》（加盖公章）；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《竞买保证金到账通知书》（加盖公章）；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竞买保证金转账凭证复印件（加盖公章）；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申请竞买人有效的《营业执照》复印件（加盖公章）；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法定代表人身份证复印件（加盖公章）；</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授权他人代理的授权委托书及代理人身份证复印件（核对原件）；</w:t>
      </w:r>
    </w:p>
    <w:p>
      <w:pPr>
        <w:pStyle w:val="8"/>
        <w:keepNext w:val="0"/>
        <w:keepLines w:val="0"/>
        <w:pageBreakBefore w:val="0"/>
        <w:widowControl/>
        <w:numPr>
          <w:ilvl w:val="0"/>
          <w:numId w:val="2"/>
        </w:numPr>
        <w:kinsoku/>
        <w:wordWrap/>
        <w:overflowPunct/>
        <w:topLinePunct w:val="0"/>
        <w:autoSpaceDE/>
        <w:autoSpaceDN/>
        <w:bidi w:val="0"/>
        <w:spacing w:line="440" w:lineRule="exact"/>
        <w:ind w:left="-45" w:leftChars="0" w:firstLine="675" w:firstLineChars="0"/>
        <w:textAlignment w:val="auto"/>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rPr>
        <w:t>联合竞买协议（联合竞买的提供）；</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十、签订交易成交确认书及出让合同</w:t>
      </w:r>
    </w:p>
    <w:p>
      <w:pPr>
        <w:keepNext w:val="0"/>
        <w:keepLines w:val="0"/>
        <w:pageBreakBefore w:val="0"/>
        <w:kinsoku/>
        <w:wordWrap/>
        <w:overflowPunct/>
        <w:topLinePunct w:val="0"/>
        <w:autoSpaceDE/>
        <w:autoSpaceDN/>
        <w:bidi w:val="0"/>
        <w:spacing w:line="44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竞得人应在接到竞得人确定通知之日起</w:t>
      </w:r>
      <w:r>
        <w:rPr>
          <w:rFonts w:hint="eastAsia" w:ascii="Times New Roman" w:hAnsi="Times New Roman" w:eastAsia="仿宋_GB2312" w:cs="仿宋_GB2312"/>
          <w:b w:val="0"/>
          <w:bCs w:val="0"/>
          <w:color w:val="auto"/>
          <w:sz w:val="32"/>
          <w:szCs w:val="32"/>
          <w:highlight w:val="none"/>
          <w:u w:val="single"/>
          <w:lang w:val="en-US" w:eastAsia="zh-CN"/>
        </w:rPr>
        <w:t>5</w:t>
      </w:r>
      <w:r>
        <w:rPr>
          <w:rFonts w:hint="eastAsia" w:ascii="Times New Roman" w:hAnsi="Times New Roman" w:eastAsia="仿宋_GB2312" w:cs="仿宋_GB2312"/>
          <w:b w:val="0"/>
          <w:bCs w:val="0"/>
          <w:color w:val="auto"/>
          <w:sz w:val="32"/>
          <w:szCs w:val="32"/>
          <w:highlight w:val="none"/>
        </w:rPr>
        <w:t>个工作日内</w:t>
      </w:r>
      <w:r>
        <w:rPr>
          <w:rFonts w:hint="eastAsia" w:ascii="Times New Roman" w:hAnsi="Times New Roman" w:eastAsia="仿宋_GB2312" w:cs="仿宋_GB2312"/>
          <w:b w:val="0"/>
          <w:bCs w:val="0"/>
          <w:color w:val="auto"/>
          <w:sz w:val="32"/>
          <w:szCs w:val="32"/>
          <w:highlight w:val="none"/>
          <w:lang w:eastAsia="zh-CN"/>
        </w:rPr>
        <w:t>与我局、交易中心</w:t>
      </w:r>
      <w:r>
        <w:rPr>
          <w:rFonts w:hint="eastAsia" w:ascii="Times New Roman" w:hAnsi="Times New Roman" w:eastAsia="仿宋_GB2312" w:cs="仿宋_GB2312"/>
          <w:b w:val="0"/>
          <w:bCs w:val="0"/>
          <w:color w:val="auto"/>
          <w:sz w:val="32"/>
          <w:szCs w:val="32"/>
          <w:highlight w:val="none"/>
        </w:rPr>
        <w:t>签订《成交确认书》，在签订《成交确认书》之日起</w:t>
      </w:r>
      <w:r>
        <w:rPr>
          <w:rFonts w:hint="eastAsia" w:ascii="Times New Roman" w:hAnsi="Times New Roman" w:eastAsia="仿宋_GB2312" w:cs="仿宋_GB2312"/>
          <w:b w:val="0"/>
          <w:bCs w:val="0"/>
          <w:color w:val="auto"/>
          <w:sz w:val="32"/>
          <w:szCs w:val="32"/>
          <w:highlight w:val="none"/>
          <w:u w:val="single"/>
          <w:lang w:val="en-US" w:eastAsia="zh-CN"/>
        </w:rPr>
        <w:t>10</w:t>
      </w:r>
      <w:r>
        <w:rPr>
          <w:rFonts w:hint="eastAsia" w:ascii="Times New Roman" w:hAnsi="Times New Roman" w:eastAsia="仿宋_GB2312" w:cs="仿宋_GB2312"/>
          <w:b w:val="0"/>
          <w:bCs w:val="0"/>
          <w:color w:val="auto"/>
          <w:sz w:val="32"/>
          <w:szCs w:val="32"/>
          <w:highlight w:val="none"/>
          <w:u w:val="none"/>
          <w:lang w:val="en-US" w:eastAsia="zh-CN"/>
        </w:rPr>
        <w:t>个工作日</w:t>
      </w:r>
      <w:r>
        <w:rPr>
          <w:rFonts w:hint="eastAsia" w:ascii="Times New Roman" w:hAnsi="Times New Roman" w:eastAsia="仿宋_GB2312" w:cs="仿宋_GB2312"/>
          <w:b w:val="0"/>
          <w:bCs w:val="0"/>
          <w:color w:val="auto"/>
          <w:sz w:val="32"/>
          <w:szCs w:val="32"/>
          <w:highlight w:val="none"/>
        </w:rPr>
        <w:t>内与我局签订《出让合同》。</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十一、竞买保证金退还或转付成交价款</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签订交易合同，竞得人</w:t>
      </w:r>
      <w:r>
        <w:rPr>
          <w:rFonts w:hint="eastAsia" w:ascii="Times New Roman" w:hAnsi="Times New Roman" w:eastAsia="仿宋_GB2312" w:cs="仿宋_GB2312"/>
          <w:b w:val="0"/>
          <w:bCs w:val="0"/>
          <w:color w:val="auto"/>
          <w:sz w:val="32"/>
          <w:szCs w:val="32"/>
          <w:highlight w:val="none"/>
          <w:shd w:val="clear" w:color="auto" w:fill="auto"/>
          <w:lang w:eastAsia="zh-CN"/>
        </w:rPr>
        <w:t>交</w:t>
      </w:r>
      <w:r>
        <w:rPr>
          <w:rFonts w:hint="eastAsia" w:ascii="Times New Roman" w:hAnsi="Times New Roman" w:eastAsia="仿宋_GB2312" w:cs="仿宋_GB2312"/>
          <w:b w:val="0"/>
          <w:bCs w:val="0"/>
          <w:color w:val="auto"/>
          <w:sz w:val="32"/>
          <w:szCs w:val="32"/>
          <w:highlight w:val="none"/>
          <w:shd w:val="clear" w:color="auto" w:fill="auto"/>
        </w:rPr>
        <w:t>纳</w:t>
      </w:r>
      <w:r>
        <w:rPr>
          <w:rFonts w:hint="eastAsia" w:ascii="Times New Roman" w:hAnsi="Times New Roman" w:eastAsia="仿宋_GB2312" w:cs="仿宋_GB2312"/>
          <w:b w:val="0"/>
          <w:bCs w:val="0"/>
          <w:color w:val="auto"/>
          <w:sz w:val="32"/>
          <w:szCs w:val="32"/>
          <w:highlight w:val="none"/>
        </w:rPr>
        <w:t>的竞买保证金按成交价的</w:t>
      </w:r>
      <w:r>
        <w:rPr>
          <w:rFonts w:hint="eastAsia" w:ascii="Times New Roman" w:hAnsi="Times New Roman" w:eastAsia="仿宋_GB2312" w:cs="仿宋_GB2312"/>
          <w:b w:val="0"/>
          <w:bCs w:val="0"/>
          <w:color w:val="auto"/>
          <w:sz w:val="32"/>
          <w:szCs w:val="32"/>
          <w:highlight w:val="none"/>
          <w:u w:val="single"/>
          <w:lang w:val="en-US" w:eastAsia="zh-CN"/>
        </w:rPr>
        <w:t>20</w:t>
      </w:r>
      <w:r>
        <w:rPr>
          <w:rFonts w:hint="eastAsia" w:ascii="Times New Roman" w:hAnsi="Times New Roman" w:eastAsia="仿宋_GB2312" w:cs="仿宋_GB2312"/>
          <w:b w:val="0"/>
          <w:bCs w:val="0"/>
          <w:color w:val="auto"/>
          <w:sz w:val="32"/>
          <w:szCs w:val="32"/>
          <w:highlight w:val="none"/>
        </w:rPr>
        <w:t>%转作受让宗地的定金。如竞买保证金不足以缴纳定金，不足部分在交易系统确定成交之日起5个工作日内补齐；如竞买保证金转作定金后有剩余，余额转作宗地成交价款，定金可抵作宗地成交价款。</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未竞得人交纳的竞买保证金于电子挂牌交易活动结束之日起5个工作日内原路退还，不计利息。</w:t>
      </w:r>
    </w:p>
    <w:p>
      <w:pPr>
        <w:pStyle w:val="4"/>
        <w:keepNext w:val="0"/>
        <w:keepLines w:val="0"/>
        <w:pageBreakBefore w:val="0"/>
        <w:kinsoku/>
        <w:wordWrap/>
        <w:overflowPunct/>
        <w:topLinePunct w:val="0"/>
        <w:autoSpaceDE/>
        <w:autoSpaceDN/>
        <w:bidi w:val="0"/>
        <w:spacing w:line="440" w:lineRule="exact"/>
        <w:ind w:firstLine="64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竞得人交纳的竞买保证金转付成交价款，竞得人应带齐如下相关资料到交易中心办理转付成交价款手续：</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一</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保证金到账通知书；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竞价结果通知书；</w:t>
      </w:r>
    </w:p>
    <w:p>
      <w:pPr>
        <w:pStyle w:val="4"/>
        <w:keepNext w:val="0"/>
        <w:keepLines w:val="0"/>
        <w:pageBreakBefore w:val="0"/>
        <w:numPr>
          <w:ilvl w:val="0"/>
          <w:numId w:val="0"/>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三</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保证金转账凭证。</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二</w:t>
      </w:r>
      <w:r>
        <w:rPr>
          <w:rFonts w:hint="eastAsia" w:ascii="Times New Roman" w:hAnsi="Times New Roman" w:eastAsia="仿宋_GB2312" w:cs="仿宋_GB2312"/>
          <w:b w:val="0"/>
          <w:bCs w:val="0"/>
          <w:color w:val="auto"/>
          <w:sz w:val="32"/>
          <w:szCs w:val="32"/>
          <w:highlight w:val="none"/>
        </w:rPr>
        <w:t>、成交价款支付方式及期限</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土地成交价款须以人民币支付,竞得人在签订</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出让合同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之日起</w:t>
      </w:r>
      <w:r>
        <w:rPr>
          <w:rFonts w:hint="eastAsia" w:ascii="Times New Roman" w:hAnsi="Times New Roman" w:eastAsia="仿宋_GB2312" w:cs="仿宋_GB2312"/>
          <w:b w:val="0"/>
          <w:bCs w:val="0"/>
          <w:color w:val="auto"/>
          <w:sz w:val="32"/>
          <w:szCs w:val="32"/>
          <w:highlight w:val="none"/>
          <w:u w:val="single"/>
          <w:lang w:val="en-US" w:eastAsia="zh-CN"/>
        </w:rPr>
        <w:t>30</w:t>
      </w:r>
      <w:r>
        <w:rPr>
          <w:rFonts w:hint="eastAsia" w:ascii="Times New Roman" w:hAnsi="Times New Roman" w:eastAsia="仿宋_GB2312" w:cs="仿宋_GB2312"/>
          <w:b w:val="0"/>
          <w:bCs w:val="0"/>
          <w:color w:val="auto"/>
          <w:sz w:val="32"/>
          <w:szCs w:val="32"/>
          <w:highlight w:val="none"/>
        </w:rPr>
        <w:t>日内一次性付清全部成交价款。</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三</w:t>
      </w:r>
      <w:r>
        <w:rPr>
          <w:rFonts w:hint="eastAsia" w:ascii="Times New Roman" w:hAnsi="Times New Roman" w:eastAsia="仿宋_GB2312" w:cs="仿宋_GB2312"/>
          <w:b w:val="0"/>
          <w:bCs w:val="0"/>
          <w:color w:val="auto"/>
          <w:sz w:val="32"/>
          <w:szCs w:val="32"/>
          <w:highlight w:val="none"/>
        </w:rPr>
        <w:t>、违规责任</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不符合竞买资格条件的；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提供虚假文件材料，隐瞒重要事实的；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采取行贿、恶意串通等非法手段竞得的；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无正当理由逾期或拒绝签订成交确认书的；</w:t>
      </w:r>
    </w:p>
    <w:p>
      <w:pPr>
        <w:keepNext w:val="0"/>
        <w:keepLines w:val="0"/>
        <w:pageBreakBefore w:val="0"/>
        <w:numPr>
          <w:ilvl w:val="0"/>
          <w:numId w:val="3"/>
        </w:numPr>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无正当理由逾期或拒绝签订</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出让合同</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的。</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十</w:t>
      </w:r>
      <w:r>
        <w:rPr>
          <w:rFonts w:hint="eastAsia" w:ascii="Times New Roman" w:hAnsi="Times New Roman" w:eastAsia="仿宋_GB2312" w:cs="仿宋_GB2312"/>
          <w:b w:val="0"/>
          <w:bCs w:val="0"/>
          <w:color w:val="auto"/>
          <w:sz w:val="32"/>
          <w:szCs w:val="32"/>
          <w:highlight w:val="none"/>
          <w:lang w:eastAsia="zh-CN"/>
        </w:rPr>
        <w:t>四</w:t>
      </w:r>
      <w:r>
        <w:rPr>
          <w:rFonts w:hint="eastAsia" w:ascii="Times New Roman" w:hAnsi="Times New Roman" w:eastAsia="仿宋_GB2312" w:cs="仿宋_GB2312"/>
          <w:b w:val="0"/>
          <w:bCs w:val="0"/>
          <w:color w:val="auto"/>
          <w:sz w:val="32"/>
          <w:szCs w:val="32"/>
          <w:highlight w:val="none"/>
        </w:rPr>
        <w:t>、其他需要公告的事项</w:t>
      </w:r>
    </w:p>
    <w:p>
      <w:pPr>
        <w:keepNext w:val="0"/>
        <w:keepLines w:val="0"/>
        <w:pageBreakBefore w:val="0"/>
        <w:kinsoku/>
        <w:wordWrap/>
        <w:overflowPunct/>
        <w:topLinePunct w:val="0"/>
        <w:autoSpaceDE/>
        <w:autoSpaceDN/>
        <w:bidi w:val="0"/>
        <w:spacing w:line="440" w:lineRule="exact"/>
        <w:ind w:firstLine="555"/>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（一）本宗地网上挂牌出让的详细资料和具体要求，见交易中心网上挂牌交易系统（https://www.hzgtjy.com/）。申请人可在网上挂牌交易系统下载挂牌出让公告、须知及相关交易文件。</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（二）有意竞买者可以自行到地块现场踏勘（可在网上挂牌交易系统查阅位置图和现状图）。</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4"/>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（四）地块动工竣工时间及地块交付时间</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地块动工时间为地块交付之日起一年内，竣工时间为动工之日起三年内（因不可抗拒因素除外）；</w:t>
      </w:r>
    </w:p>
    <w:p>
      <w:pPr>
        <w:pStyle w:val="4"/>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竞得人在付清地价款后一个月内办理交地手续，凭《</w:t>
      </w:r>
      <w:r>
        <w:rPr>
          <w:rFonts w:hint="eastAsia" w:ascii="Times New Roman" w:hAnsi="Times New Roman" w:eastAsia="仿宋_GB2312" w:cs="仿宋_GB2312"/>
          <w:b w:val="0"/>
          <w:bCs w:val="0"/>
          <w:color w:val="auto"/>
          <w:sz w:val="32"/>
          <w:szCs w:val="32"/>
          <w:highlight w:val="none"/>
          <w:lang w:eastAsia="zh-CN"/>
        </w:rPr>
        <w:t>成交</w:t>
      </w:r>
      <w:r>
        <w:rPr>
          <w:rFonts w:hint="eastAsia" w:ascii="Times New Roman" w:hAnsi="Times New Roman" w:eastAsia="仿宋_GB2312" w:cs="仿宋_GB2312"/>
          <w:b w:val="0"/>
          <w:bCs w:val="0"/>
          <w:color w:val="auto"/>
          <w:sz w:val="32"/>
          <w:szCs w:val="32"/>
          <w:highlight w:val="none"/>
        </w:rPr>
        <w:t>确认书》、《出让合同》和地价款交款凭证等申请办理土地初始登记，领取《不动产权证书》。</w:t>
      </w:r>
    </w:p>
    <w:p>
      <w:pPr>
        <w:pStyle w:val="4"/>
        <w:keepNext w:val="0"/>
        <w:keepLines w:val="0"/>
        <w:pageBreakBefore w:val="0"/>
        <w:kinsoku/>
        <w:wordWrap/>
        <w:overflowPunct/>
        <w:topLinePunct w:val="0"/>
        <w:autoSpaceDE/>
        <w:autoSpaceDN/>
        <w:bidi w:val="0"/>
        <w:spacing w:line="440" w:lineRule="exact"/>
        <w:ind w:left="0" w:leftChars="0"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（五）土地开发及使用规定</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竞得人在用地红线内开发建设必须按《建设用地规划设计条件》的规划控制指标要求及有关规定进行规划设计，配建相关配套设施。</w:t>
      </w:r>
    </w:p>
    <w:p>
      <w:pPr>
        <w:keepNext w:val="0"/>
        <w:keepLines w:val="0"/>
        <w:pageBreakBefore w:val="0"/>
        <w:numPr>
          <w:ilvl w:val="0"/>
          <w:numId w:val="0"/>
        </w:numPr>
        <w:kinsoku/>
        <w:wordWrap/>
        <w:overflowPunct/>
        <w:topLinePunct w:val="0"/>
        <w:autoSpaceDE/>
        <w:autoSpaceDN/>
        <w:bidi w:val="0"/>
        <w:spacing w:line="440" w:lineRule="exact"/>
        <w:ind w:leftChars="200" w:firstLine="320" w:firstLineChars="1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十五、</w:t>
      </w:r>
      <w:r>
        <w:rPr>
          <w:rFonts w:hint="eastAsia" w:ascii="Times New Roman" w:hAnsi="Times New Roman" w:eastAsia="仿宋_GB2312" w:cs="仿宋_GB2312"/>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出让方：</w:t>
      </w:r>
      <w:r>
        <w:rPr>
          <w:rFonts w:hint="eastAsia" w:ascii="Times New Roman" w:hAnsi="Times New Roman" w:eastAsia="仿宋_GB2312" w:cs="仿宋_GB2312"/>
          <w:i w:val="0"/>
          <w:caps w:val="0"/>
          <w:color w:val="auto"/>
          <w:spacing w:val="0"/>
          <w:sz w:val="32"/>
          <w:szCs w:val="32"/>
          <w:highlight w:val="none"/>
          <w:shd w:val="clear" w:color="auto" w:fill="FFFFFF"/>
        </w:rPr>
        <w:t>惠州市龙门县自然资源局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联系</w:t>
      </w:r>
      <w:r>
        <w:rPr>
          <w:rFonts w:hint="eastAsia" w:ascii="Times New Roman" w:hAnsi="Times New Roman" w:eastAsia="仿宋_GB2312" w:cs="仿宋_GB2312"/>
          <w:i w:val="0"/>
          <w:caps w:val="0"/>
          <w:color w:val="auto"/>
          <w:spacing w:val="0"/>
          <w:sz w:val="32"/>
          <w:szCs w:val="32"/>
          <w:highlight w:val="none"/>
          <w:shd w:val="clear" w:color="auto" w:fill="FFFFFF"/>
        </w:rPr>
        <w:t>地址：惠州市龙门县龙新公路西埔路段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联系人：</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钟先生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rPr>
        <w:t>联系电话：</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0752</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7783681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交易机构：</w:t>
      </w:r>
      <w:r>
        <w:rPr>
          <w:rFonts w:hint="eastAsia" w:ascii="Times New Roman" w:hAnsi="Times New Roman" w:eastAsia="仿宋_GB2312" w:cs="仿宋_GB2312"/>
          <w:i w:val="0"/>
          <w:caps w:val="0"/>
          <w:color w:val="auto"/>
          <w:spacing w:val="0"/>
          <w:sz w:val="32"/>
          <w:szCs w:val="32"/>
          <w:highlight w:val="none"/>
          <w:shd w:val="clear" w:color="auto" w:fill="FFFFFF"/>
        </w:rPr>
        <w:t>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联系</w:t>
      </w:r>
      <w:r>
        <w:rPr>
          <w:rFonts w:hint="eastAsia" w:ascii="Times New Roman" w:hAnsi="Times New Roman" w:eastAsia="仿宋_GB2312" w:cs="仿宋_GB2312"/>
          <w:i w:val="0"/>
          <w:caps w:val="0"/>
          <w:color w:val="auto"/>
          <w:spacing w:val="0"/>
          <w:sz w:val="32"/>
          <w:szCs w:val="32"/>
          <w:highlight w:val="none"/>
          <w:shd w:val="clear" w:color="auto" w:fill="FFFFFF"/>
        </w:rPr>
        <w:t>地址：广东省惠州市龙门县体育西路6号城投大厦二楼惠州市公共资源交易中心龙门分中心。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联系人：谢小姐、陈先生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rPr>
      </w:pPr>
      <w:r>
        <w:rPr>
          <w:rFonts w:hint="eastAsia" w:ascii="Times New Roman" w:hAnsi="Times New Roman" w:eastAsia="仿宋_GB2312" w:cs="仿宋_GB2312"/>
          <w:i w:val="0"/>
          <w:caps w:val="0"/>
          <w:color w:val="auto"/>
          <w:spacing w:val="0"/>
          <w:sz w:val="32"/>
          <w:szCs w:val="32"/>
          <w:highlight w:val="none"/>
          <w:shd w:val="clear" w:color="auto" w:fill="FFFFFF"/>
        </w:rPr>
        <w:t>联系电话：（0752）7988083</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注：本公告同时在下列网站及</w:t>
      </w:r>
      <w:r>
        <w:rPr>
          <w:rFonts w:hint="eastAsia" w:ascii="Times New Roman" w:hAnsi="Times New Roman" w:eastAsia="仿宋_GB2312" w:cs="仿宋_GB2312"/>
          <w:b w:val="0"/>
          <w:bCs w:val="0"/>
          <w:color w:val="auto"/>
          <w:sz w:val="32"/>
          <w:szCs w:val="32"/>
          <w:highlight w:val="none"/>
          <w:lang w:val="en-US" w:eastAsia="zh-CN"/>
        </w:rPr>
        <w:t>报刊</w:t>
      </w:r>
      <w:r>
        <w:rPr>
          <w:rFonts w:hint="eastAsia" w:ascii="Times New Roman" w:hAnsi="Times New Roman" w:eastAsia="仿宋_GB2312" w:cs="仿宋_GB2312"/>
          <w:b w:val="0"/>
          <w:bCs w:val="0"/>
          <w:color w:val="auto"/>
          <w:sz w:val="32"/>
          <w:szCs w:val="32"/>
          <w:highlight w:val="none"/>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中国土地市场网: http://www.landchina.com</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i w:val="0"/>
          <w:caps w:val="0"/>
          <w:color w:val="auto"/>
          <w:spacing w:val="0"/>
          <w:sz w:val="32"/>
          <w:szCs w:val="32"/>
          <w:highlight w:val="none"/>
          <w:shd w:val="clear" w:color="auto" w:fill="FFFFFF"/>
          <w:lang w:eastAsia="zh-CN"/>
        </w:rPr>
        <w:t>广东</w:t>
      </w:r>
      <w:r>
        <w:rPr>
          <w:rFonts w:hint="eastAsia" w:ascii="Times New Roman" w:hAnsi="Times New Roman" w:eastAsia="仿宋_GB2312" w:cs="仿宋_GB2312"/>
          <w:i w:val="0"/>
          <w:caps w:val="0"/>
          <w:color w:val="auto"/>
          <w:spacing w:val="0"/>
          <w:sz w:val="32"/>
          <w:szCs w:val="32"/>
          <w:highlight w:val="none"/>
          <w:shd w:val="clear" w:color="auto" w:fill="FFFFFF"/>
        </w:rPr>
        <w:t>省公共资源交易平台</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rPr>
        <w:t>https://ygp.gdzwfw.gov.cn</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64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rPr>
        <w:t>广东省自然资源厅：http://nr.gd.gov.cn/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龙门县人民政府网:（龙门县自然资源局、惠州市公共资源交易中心龙门分中心）：http://www.longmen.gov.cn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惠州市公共资源交易中心网：http://zyjy.huizhou.gov.cn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 xml:space="preserve">    </w:t>
      </w:r>
      <w:r>
        <w:rPr>
          <w:rFonts w:hint="eastAsia" w:ascii="Times New Roman" w:hAnsi="Times New Roman" w:eastAsia="仿宋_GB2312" w:cs="仿宋_GB2312"/>
          <w:i w:val="0"/>
          <w:caps w:val="0"/>
          <w:color w:val="auto"/>
          <w:spacing w:val="0"/>
          <w:sz w:val="32"/>
          <w:szCs w:val="32"/>
          <w:highlight w:val="none"/>
          <w:shd w:val="clear" w:color="auto" w:fill="FFFFFF"/>
        </w:rPr>
        <w:t>惠州日报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数字证书办理地址：广东省惠州市惠城区三新北路31号市民服务中心3号楼惠州市公共资源交易中心一楼大厅1号土地与矿业交易窗口。</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联系人：罗工</w:t>
      </w:r>
    </w:p>
    <w:p>
      <w:pPr>
        <w:keepNext w:val="0"/>
        <w:keepLines w:val="0"/>
        <w:pageBreakBefore w:val="0"/>
        <w:kinsoku/>
        <w:wordWrap/>
        <w:overflowPunct/>
        <w:topLinePunct w:val="0"/>
        <w:autoSpaceDE/>
        <w:autoSpaceDN/>
        <w:bidi w:val="0"/>
        <w:spacing w:line="44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联系电话：0752-7121029</w:t>
      </w:r>
    </w:p>
    <w:p>
      <w:pPr>
        <w:pStyle w:val="4"/>
        <w:keepNext w:val="0"/>
        <w:keepLines w:val="0"/>
        <w:pageBreakBefore w:val="0"/>
        <w:kinsoku/>
        <w:wordWrap/>
        <w:overflowPunct/>
        <w:topLinePunct w:val="0"/>
        <w:autoSpaceDE/>
        <w:autoSpaceDN/>
        <w:bidi w:val="0"/>
        <w:spacing w:line="440" w:lineRule="exact"/>
        <w:ind w:firstLine="4800" w:firstLineChars="1500"/>
        <w:textAlignment w:val="auto"/>
        <w:rPr>
          <w:rFonts w:hint="eastAsia" w:ascii="Times New Roman" w:hAnsi="Times New Roman" w:eastAsia="仿宋_GB2312" w:cs="仿宋_GB2312"/>
          <w:b w:val="0"/>
          <w:bCs w:val="0"/>
          <w:color w:val="auto"/>
          <w:sz w:val="32"/>
          <w:szCs w:val="32"/>
          <w:highlight w:val="none"/>
          <w:u w:val="single"/>
          <w:lang w:val="en-US" w:eastAsia="zh-CN"/>
        </w:rPr>
      </w:pPr>
      <w:r>
        <w:rPr>
          <w:rFonts w:hint="eastAsia" w:ascii="Times New Roman" w:hAnsi="Times New Roman" w:eastAsia="仿宋_GB2312" w:cs="仿宋_GB2312"/>
          <w:b w:val="0"/>
          <w:bCs w:val="0"/>
          <w:color w:val="auto"/>
          <w:sz w:val="32"/>
          <w:szCs w:val="32"/>
          <w:highlight w:val="none"/>
          <w:u w:val="none"/>
          <w:lang w:val="en-US" w:eastAsia="zh-CN"/>
        </w:rPr>
        <w:t>龙门县</w:t>
      </w:r>
      <w:r>
        <w:rPr>
          <w:rFonts w:hint="eastAsia" w:ascii="Times New Roman" w:hAnsi="Times New Roman" w:eastAsia="仿宋_GB2312" w:cs="仿宋_GB2312"/>
          <w:b w:val="0"/>
          <w:bCs w:val="0"/>
          <w:color w:val="auto"/>
          <w:sz w:val="32"/>
          <w:szCs w:val="32"/>
          <w:highlight w:val="none"/>
        </w:rPr>
        <w:t>自然资源局</w:t>
      </w:r>
      <w:r>
        <w:rPr>
          <w:rFonts w:hint="eastAsia" w:ascii="Times New Roman" w:hAnsi="Times New Roman" w:eastAsia="仿宋_GB2312" w:cs="仿宋_GB2312"/>
          <w:b w:val="0"/>
          <w:bCs w:val="0"/>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pacing w:line="440" w:lineRule="exact"/>
        <w:jc w:val="center"/>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 xml:space="preserve">                        2023</w:t>
      </w:r>
      <w:r>
        <w:rPr>
          <w:rFonts w:hint="eastAsia" w:ascii="Times New Roman" w:hAnsi="Times New Roman" w:eastAsia="仿宋_GB2312" w:cs="仿宋_GB2312"/>
          <w:b w:val="0"/>
          <w:bCs w:val="0"/>
          <w:color w:val="auto"/>
          <w:sz w:val="32"/>
          <w:szCs w:val="32"/>
          <w:highlight w:val="none"/>
        </w:rPr>
        <w:t>年</w:t>
      </w:r>
      <w:r>
        <w:rPr>
          <w:rFonts w:hint="eastAsia" w:eastAsia="仿宋_GB2312" w:cs="仿宋_GB2312"/>
          <w:b w:val="0"/>
          <w:bCs w:val="0"/>
          <w:color w:val="auto"/>
          <w:sz w:val="32"/>
          <w:szCs w:val="32"/>
          <w:highlight w:val="none"/>
          <w:lang w:val="en-US" w:eastAsia="zh-CN"/>
        </w:rPr>
        <w:t>8</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u w:val="none"/>
          <w:lang w:val="en-US" w:eastAsia="zh-CN"/>
        </w:rPr>
        <w:t>4</w:t>
      </w:r>
      <w:r>
        <w:rPr>
          <w:rFonts w:hint="eastAsia" w:ascii="Times New Roman" w:hAnsi="Times New Roman" w:eastAsia="仿宋_GB2312" w:cs="仿宋_GB2312"/>
          <w:b w:val="0"/>
          <w:bCs w:val="0"/>
          <w:color w:val="auto"/>
          <w:sz w:val="32"/>
          <w:szCs w:val="32"/>
          <w:highlight w:val="none"/>
        </w:rPr>
        <w:t>日</w:t>
      </w:r>
    </w:p>
    <w:p>
      <w:pPr>
        <w:keepNext w:val="0"/>
        <w:keepLines w:val="0"/>
        <w:pageBreakBefore w:val="0"/>
        <w:kinsoku/>
        <w:wordWrap/>
        <w:overflowPunct/>
        <w:topLinePunct w:val="0"/>
        <w:autoSpaceDE/>
        <w:autoSpaceDN/>
        <w:bidi w:val="0"/>
        <w:spacing w:line="440" w:lineRule="exact"/>
        <w:textAlignment w:val="auto"/>
        <w:rPr>
          <w:rFonts w:hint="eastAsia" w:ascii="Times New Roman" w:hAnsi="Times New Roman" w:eastAsia="仿宋_GB2312" w:cs="仿宋_GB2312"/>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pacing w:line="440" w:lineRule="exact"/>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附表：</w:t>
      </w:r>
    </w:p>
    <w:p>
      <w:pPr>
        <w:spacing w:line="360" w:lineRule="auto"/>
        <w:jc w:val="center"/>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网上挂牌出让地块规划建设指标及挂牌起始价</w:t>
      </w:r>
    </w:p>
    <w:p>
      <w:pPr>
        <w:spacing w:line="360" w:lineRule="auto"/>
        <w:jc w:val="both"/>
        <w:rPr>
          <w:rFonts w:hint="eastAsia" w:ascii="Times New Roman" w:hAnsi="Times New Roman" w:eastAsia="仿宋_GB2312"/>
          <w:color w:val="auto"/>
          <w:sz w:val="32"/>
          <w:szCs w:val="32"/>
        </w:rPr>
      </w:pPr>
    </w:p>
    <w:tbl>
      <w:tblPr>
        <w:tblStyle w:val="9"/>
        <w:tblpPr w:leftFromText="180" w:rightFromText="180" w:vertAnchor="text" w:horzAnchor="page" w:tblpX="421" w:tblpY="263"/>
        <w:tblOverlap w:val="never"/>
        <w:tblW w:w="53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1"/>
        <w:gridCol w:w="1118"/>
        <w:gridCol w:w="788"/>
        <w:gridCol w:w="858"/>
        <w:gridCol w:w="876"/>
        <w:gridCol w:w="771"/>
        <w:gridCol w:w="785"/>
        <w:gridCol w:w="706"/>
        <w:gridCol w:w="771"/>
        <w:gridCol w:w="1307"/>
        <w:gridCol w:w="562"/>
        <w:gridCol w:w="929"/>
        <w:gridCol w:w="1594"/>
        <w:gridCol w:w="484"/>
        <w:gridCol w:w="666"/>
        <w:gridCol w:w="863"/>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挂牌地块</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编号</w:t>
            </w:r>
          </w:p>
        </w:tc>
        <w:tc>
          <w:tcPr>
            <w:tcW w:w="36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土地</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位置</w:t>
            </w:r>
          </w:p>
        </w:tc>
        <w:tc>
          <w:tcPr>
            <w:tcW w:w="257"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用地编号</w:t>
            </w:r>
          </w:p>
        </w:tc>
        <w:tc>
          <w:tcPr>
            <w:tcW w:w="28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土地用途</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宗地使用权面积（㎡）</w:t>
            </w:r>
          </w:p>
        </w:tc>
        <w:tc>
          <w:tcPr>
            <w:tcW w:w="2427" w:type="pct"/>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规划指标要求</w:t>
            </w:r>
          </w:p>
        </w:tc>
        <w:tc>
          <w:tcPr>
            <w:tcW w:w="158" w:type="pct"/>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出让</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年限</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（年）</w:t>
            </w:r>
          </w:p>
        </w:tc>
        <w:tc>
          <w:tcPr>
            <w:tcW w:w="21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挂牌起始价</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（万元）</w:t>
            </w:r>
          </w:p>
        </w:tc>
        <w:tc>
          <w:tcPr>
            <w:tcW w:w="2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竞买</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保证金</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（万元）</w:t>
            </w:r>
          </w:p>
        </w:tc>
        <w:tc>
          <w:tcPr>
            <w:tcW w:w="2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加价幅</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度（万元）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3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57" w:type="pct"/>
            <w:vMerge w:val="continue"/>
            <w:tcBorders>
              <w:left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8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计算指标用地面积（㎡）</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容积率</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建筑密度（%）</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绿地率（%）</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计容积率</w:t>
            </w:r>
          </w:p>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建筑</w:t>
            </w:r>
          </w:p>
          <w:p>
            <w:pPr>
              <w:keepNext w:val="0"/>
              <w:keepLines w:val="0"/>
              <w:widowControl/>
              <w:suppressLineNumbers w:val="0"/>
              <w:jc w:val="center"/>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面积（㎡）</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仿宋_GB2312" w:cs="宋体"/>
                <w:i w:val="0"/>
                <w:iCs w:val="0"/>
                <w:color w:val="auto"/>
                <w:sz w:val="21"/>
                <w:szCs w:val="21"/>
                <w:u w:val="none"/>
              </w:rPr>
            </w:pPr>
            <w:r>
              <w:rPr>
                <w:rFonts w:hint="eastAsia" w:ascii="Times New Roman" w:hAnsi="Times New Roman" w:eastAsia="仿宋_GB2312" w:cs="宋体"/>
                <w:i w:val="0"/>
                <w:iCs w:val="0"/>
                <w:color w:val="auto"/>
                <w:kern w:val="0"/>
                <w:sz w:val="21"/>
                <w:szCs w:val="21"/>
                <w:u w:val="none"/>
                <w:lang w:val="en-US" w:eastAsia="zh-CN" w:bidi="ar"/>
              </w:rPr>
              <w:t>建筑高度（m）</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机动车停车位配建标准（个/100㎡）</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olor w:val="auto"/>
                <w:lang w:val="en-US" w:eastAsia="zh-CN"/>
              </w:rPr>
            </w:pPr>
            <w:r>
              <w:rPr>
                <w:rFonts w:hint="eastAsia" w:ascii="Times New Roman" w:hAnsi="Times New Roman" w:eastAsia="仿宋_GB2312"/>
                <w:color w:val="auto"/>
                <w:lang w:val="en-US" w:eastAsia="zh-CN"/>
              </w:rPr>
              <w:t>适建性</w:t>
            </w:r>
          </w:p>
          <w:p>
            <w:pPr>
              <w:pStyle w:val="2"/>
              <w:ind w:left="0" w:leftChars="0" w:firstLine="300" w:firstLineChars="100"/>
              <w:rPr>
                <w:rFonts w:hint="eastAsia" w:ascii="Times New Roman" w:hAnsi="Times New Roman" w:eastAsia="仿宋_GB2312"/>
                <w:color w:val="auto"/>
                <w:lang w:val="en-US" w:eastAsia="zh-CN"/>
              </w:rPr>
            </w:pPr>
          </w:p>
        </w:tc>
        <w:tc>
          <w:tcPr>
            <w:tcW w:w="158" w:type="pct"/>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1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c>
          <w:tcPr>
            <w:tcW w:w="2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LM2023-1</w:t>
            </w:r>
            <w:r>
              <w:rPr>
                <w:rFonts w:hint="eastAsia" w:eastAsia="仿宋_GB2312" w:cs="宋体"/>
                <w:i w:val="0"/>
                <w:iCs w:val="0"/>
                <w:color w:val="auto"/>
                <w:kern w:val="0"/>
                <w:sz w:val="21"/>
                <w:szCs w:val="21"/>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2"/>
                <w:sz w:val="21"/>
                <w:szCs w:val="21"/>
                <w:u w:val="none"/>
                <w:lang w:val="en-US" w:eastAsia="zh-CN" w:bidi="ar-SA"/>
              </w:rPr>
            </w:pPr>
            <w:r>
              <w:rPr>
                <w:rFonts w:hint="default" w:ascii="Times New Roman" w:hAnsi="Times New Roman" w:eastAsia="仿宋_GB2312" w:cs="宋体"/>
                <w:i w:val="0"/>
                <w:iCs w:val="0"/>
                <w:color w:val="auto"/>
                <w:kern w:val="2"/>
                <w:sz w:val="21"/>
                <w:szCs w:val="21"/>
                <w:u w:val="none"/>
                <w:lang w:val="en-US" w:eastAsia="zh-CN" w:bidi="ar-SA"/>
              </w:rPr>
              <w:t>南昆山乌坭社区</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4"/>
                <w:lang w:val="en-US" w:eastAsia="zh-CN" w:bidi="ar-SA"/>
              </w:rPr>
            </w:pPr>
            <w:r>
              <w:rPr>
                <w:rFonts w:hint="eastAsia" w:eastAsia="仿宋_GB2312" w:cs="仿宋_GB2312"/>
                <w:b w:val="0"/>
                <w:bCs w:val="0"/>
                <w:color w:val="auto"/>
                <w:sz w:val="24"/>
                <w:szCs w:val="24"/>
                <w:highlight w:val="none"/>
                <w:lang w:val="en-US" w:eastAsia="zh-CN"/>
              </w:rPr>
              <w:t>NK-QX09-06-01</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旅馆用地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2170.44</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仿宋_GB2312"/>
                <w:b w:val="0"/>
                <w:bCs w:val="0"/>
                <w:color w:val="auto"/>
                <w:sz w:val="24"/>
                <w:szCs w:val="24"/>
                <w:highlight w:val="none"/>
                <w:lang w:val="en-US" w:eastAsia="zh-CN"/>
              </w:rPr>
              <w:t>2170.44</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b w:val="0"/>
                <w:bCs w:val="0"/>
                <w:i w:val="0"/>
                <w:iCs w:val="0"/>
                <w:color w:val="auto"/>
                <w:kern w:val="2"/>
                <w:sz w:val="21"/>
                <w:szCs w:val="21"/>
                <w:u w:val="none"/>
                <w:lang w:val="en-US" w:eastAsia="zh-CN" w:bidi="ar-SA"/>
              </w:rPr>
            </w:pPr>
            <w:r>
              <w:rPr>
                <w:rFonts w:hint="eastAsia" w:eastAsia="仿宋_GB2312" w:cs="宋体"/>
                <w:i w:val="0"/>
                <w:iCs w:val="0"/>
                <w:color w:val="auto"/>
                <w:sz w:val="21"/>
                <w:szCs w:val="21"/>
                <w:u w:val="none"/>
                <w:lang w:val="en-US" w:eastAsia="zh-CN"/>
              </w:rPr>
              <w:t>≤2.0</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宋体"/>
                <w:i w:val="0"/>
                <w:iCs w:val="0"/>
                <w:color w:val="auto"/>
                <w:kern w:val="0"/>
                <w:sz w:val="21"/>
                <w:szCs w:val="21"/>
                <w:u w:val="none"/>
                <w:lang w:val="en-US" w:eastAsia="zh-CN" w:bidi="ar"/>
              </w:rPr>
              <w:t>≤</w:t>
            </w:r>
            <w:r>
              <w:rPr>
                <w:rFonts w:hint="eastAsia" w:eastAsia="仿宋_GB2312" w:cs="宋体"/>
                <w:i w:val="0"/>
                <w:iCs w:val="0"/>
                <w:color w:val="auto"/>
                <w:kern w:val="0"/>
                <w:sz w:val="21"/>
                <w:szCs w:val="21"/>
                <w:u w:val="none"/>
                <w:lang w:val="en-US" w:eastAsia="zh-CN" w:bidi="ar"/>
              </w:rPr>
              <w:t>40</w:t>
            </w: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auto"/>
                <w:kern w:val="2"/>
                <w:sz w:val="21"/>
                <w:szCs w:val="21"/>
                <w:u w:val="none"/>
                <w:lang w:val="en-US" w:eastAsia="zh-CN" w:bidi="ar-SA"/>
              </w:rPr>
            </w:pPr>
            <w:r>
              <w:rPr>
                <w:rFonts w:hint="eastAsia" w:ascii="Times New Roman" w:hAnsi="Times New Roman" w:eastAsia="仿宋_GB2312" w:cs="仿宋_GB2312"/>
                <w:i w:val="0"/>
                <w:iCs w:val="0"/>
                <w:color w:val="auto"/>
                <w:sz w:val="21"/>
                <w:szCs w:val="21"/>
                <w:u w:val="none"/>
                <w:lang w:val="en-US" w:eastAsia="zh-CN"/>
              </w:rPr>
              <w:t>≥30</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color w:val="auto"/>
                <w:kern w:val="2"/>
                <w:sz w:val="21"/>
                <w:szCs w:val="21"/>
                <w:u w:val="none"/>
                <w:lang w:val="en-US" w:eastAsia="zh-CN" w:bidi="ar"/>
              </w:rPr>
            </w:pPr>
            <w:r>
              <w:rPr>
                <w:rFonts w:hint="eastAsia" w:eastAsia="仿宋_GB2312" w:cs="仿宋_GB2312"/>
                <w:b w:val="0"/>
                <w:bCs w:val="0"/>
                <w:color w:val="auto"/>
                <w:sz w:val="24"/>
                <w:szCs w:val="24"/>
                <w:highlight w:val="none"/>
                <w:lang w:val="en-US" w:eastAsia="zh-CN"/>
              </w:rPr>
              <w:t>≤4340.88</w:t>
            </w:r>
          </w:p>
        </w:tc>
        <w:tc>
          <w:tcPr>
            <w:tcW w:w="183"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2"/>
                <w:sz w:val="21"/>
                <w:szCs w:val="21"/>
                <w:u w:val="none"/>
                <w:lang w:val="en-US" w:eastAsia="zh-CN" w:bidi="ar-SA"/>
              </w:rPr>
            </w:pPr>
            <w:r>
              <w:rPr>
                <w:rFonts w:hint="eastAsia" w:eastAsia="仿宋_GB2312" w:cs="宋体"/>
                <w:i w:val="0"/>
                <w:iCs w:val="0"/>
                <w:color w:val="auto"/>
                <w:kern w:val="0"/>
                <w:sz w:val="21"/>
                <w:szCs w:val="21"/>
                <w:u w:val="none"/>
                <w:lang w:val="en-US" w:eastAsia="zh-CN" w:bidi="ar"/>
              </w:rPr>
              <w:t>≤40</w:t>
            </w:r>
          </w:p>
        </w:tc>
        <w:tc>
          <w:tcPr>
            <w:tcW w:w="30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auto"/>
                <w:kern w:val="0"/>
                <w:sz w:val="21"/>
                <w:szCs w:val="21"/>
                <w:u w:val="none"/>
                <w:lang w:val="en-US" w:eastAsia="zh-CN" w:bidi="ar"/>
              </w:rPr>
            </w:pPr>
            <w:r>
              <w:rPr>
                <w:rFonts w:hint="eastAsia" w:ascii="Times New Roman" w:hAnsi="Times New Roman" w:eastAsia="仿宋_GB2312" w:cs="仿宋_GB2312"/>
                <w:b w:val="0"/>
                <w:bCs w:val="0"/>
                <w:color w:val="auto"/>
                <w:sz w:val="24"/>
                <w:szCs w:val="24"/>
                <w:highlight w:val="none"/>
                <w:lang w:val="en-US" w:eastAsia="zh-CN"/>
              </w:rPr>
              <w:t>≥1.0</w:t>
            </w:r>
          </w:p>
        </w:tc>
        <w:tc>
          <w:tcPr>
            <w:tcW w:w="521"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w:t>
            </w:r>
          </w:p>
        </w:tc>
        <w:tc>
          <w:tcPr>
            <w:tcW w:w="15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kern w:val="0"/>
                <w:sz w:val="21"/>
                <w:szCs w:val="21"/>
                <w:u w:val="none"/>
                <w:lang w:val="en-US" w:eastAsia="zh-CN" w:bidi="ar"/>
              </w:rPr>
              <w:t>40</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sz w:val="21"/>
                <w:szCs w:val="21"/>
                <w:u w:val="none"/>
                <w:lang w:val="en-US" w:eastAsia="zh-CN"/>
              </w:rPr>
              <w:t>1135</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sz w:val="21"/>
                <w:szCs w:val="21"/>
                <w:u w:val="none"/>
                <w:lang w:val="en-US" w:eastAsia="zh-CN"/>
              </w:rPr>
              <w:t>567.5</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宋体"/>
                <w:i w:val="0"/>
                <w:iCs w:val="0"/>
                <w:color w:val="auto"/>
                <w:kern w:val="0"/>
                <w:sz w:val="21"/>
                <w:szCs w:val="21"/>
                <w:u w:val="none"/>
                <w:lang w:val="en-US" w:eastAsia="zh-CN" w:bidi="ar"/>
              </w:rPr>
            </w:pPr>
            <w:r>
              <w:rPr>
                <w:rFonts w:hint="eastAsia" w:eastAsia="仿宋_GB2312" w:cs="宋体"/>
                <w:i w:val="0"/>
                <w:iCs w:val="0"/>
                <w:color w:val="auto"/>
                <w:sz w:val="21"/>
                <w:szCs w:val="21"/>
                <w:u w:val="none"/>
                <w:lang w:val="en-US" w:eastAsia="zh-CN"/>
              </w:rPr>
              <w:t>35</w:t>
            </w:r>
          </w:p>
        </w:tc>
      </w:tr>
    </w:tbl>
    <w:p>
      <w:pPr>
        <w:pStyle w:val="4"/>
        <w:keepNext w:val="0"/>
        <w:keepLines w:val="0"/>
        <w:pageBreakBefore w:val="0"/>
        <w:kinsoku/>
        <w:wordWrap/>
        <w:overflowPunct/>
        <w:topLinePunct w:val="0"/>
        <w:autoSpaceDN/>
        <w:bidi w:val="0"/>
        <w:adjustRightInd/>
        <w:spacing w:line="440" w:lineRule="exact"/>
        <w:ind w:left="0" w:leftChars="0" w:firstLine="0" w:firstLineChars="0"/>
        <w:textAlignment w:val="auto"/>
        <w:rPr>
          <w:rFonts w:hint="eastAsia" w:ascii="Times New Roman" w:hAnsi="Times New Roman" w:eastAsia="仿宋_GB2312" w:cs="仿宋"/>
          <w:b w:val="0"/>
          <w:bCs w:val="0"/>
          <w:color w:val="auto"/>
          <w:sz w:val="32"/>
          <w:szCs w:val="32"/>
        </w:rPr>
      </w:pPr>
    </w:p>
    <w:bookmarkEnd w:id="0"/>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D82C"/>
    <w:multiLevelType w:val="singleLevel"/>
    <w:tmpl w:val="8B5BD82C"/>
    <w:lvl w:ilvl="0" w:tentative="0">
      <w:start w:val="1"/>
      <w:numFmt w:val="chineseCounting"/>
      <w:suff w:val="nothing"/>
      <w:lvlText w:val="（%1）"/>
      <w:lvlJc w:val="left"/>
      <w:pPr>
        <w:ind w:left="-45"/>
      </w:pPr>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0904E1E0"/>
    <w:multiLevelType w:val="singleLevel"/>
    <w:tmpl w:val="0904E1E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ZTVjMTRiNzM1Yjc5ZTk3ZjI5M2E3NzRjYzk5YTIifQ=="/>
  </w:docVars>
  <w:rsids>
    <w:rsidRoot w:val="006F43B4"/>
    <w:rsid w:val="00055381"/>
    <w:rsid w:val="00156890"/>
    <w:rsid w:val="00291F43"/>
    <w:rsid w:val="003846E2"/>
    <w:rsid w:val="003D7B27"/>
    <w:rsid w:val="00502E7E"/>
    <w:rsid w:val="00593588"/>
    <w:rsid w:val="00626965"/>
    <w:rsid w:val="00651A33"/>
    <w:rsid w:val="006F43B4"/>
    <w:rsid w:val="00723053"/>
    <w:rsid w:val="008D4A14"/>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0F63C38"/>
    <w:rsid w:val="012F32FC"/>
    <w:rsid w:val="01E50B50"/>
    <w:rsid w:val="03393105"/>
    <w:rsid w:val="039F6E44"/>
    <w:rsid w:val="03C27117"/>
    <w:rsid w:val="049F7D86"/>
    <w:rsid w:val="04AA17FE"/>
    <w:rsid w:val="067362EB"/>
    <w:rsid w:val="08322B52"/>
    <w:rsid w:val="08EE04EE"/>
    <w:rsid w:val="09402008"/>
    <w:rsid w:val="0A0520C0"/>
    <w:rsid w:val="0AE876EE"/>
    <w:rsid w:val="0B1A7CC0"/>
    <w:rsid w:val="0B6643CE"/>
    <w:rsid w:val="0DD737A7"/>
    <w:rsid w:val="0E1D2DC4"/>
    <w:rsid w:val="0E2043A5"/>
    <w:rsid w:val="0E2071F3"/>
    <w:rsid w:val="0E2C2AB5"/>
    <w:rsid w:val="101713C8"/>
    <w:rsid w:val="102713DB"/>
    <w:rsid w:val="10675AC2"/>
    <w:rsid w:val="10F56E66"/>
    <w:rsid w:val="110903F6"/>
    <w:rsid w:val="11871C18"/>
    <w:rsid w:val="12D666E0"/>
    <w:rsid w:val="12D95D00"/>
    <w:rsid w:val="13055F11"/>
    <w:rsid w:val="13DC2CB8"/>
    <w:rsid w:val="14284055"/>
    <w:rsid w:val="143D057B"/>
    <w:rsid w:val="14FF4827"/>
    <w:rsid w:val="1635589D"/>
    <w:rsid w:val="163663DF"/>
    <w:rsid w:val="166F2BF1"/>
    <w:rsid w:val="1794192C"/>
    <w:rsid w:val="17EA1735"/>
    <w:rsid w:val="187E669C"/>
    <w:rsid w:val="188B2794"/>
    <w:rsid w:val="19C257C0"/>
    <w:rsid w:val="1A260428"/>
    <w:rsid w:val="1A31098E"/>
    <w:rsid w:val="1B261919"/>
    <w:rsid w:val="1B2A00D1"/>
    <w:rsid w:val="1B3B78EC"/>
    <w:rsid w:val="1BE73F47"/>
    <w:rsid w:val="1C9A1178"/>
    <w:rsid w:val="1D097D20"/>
    <w:rsid w:val="1E904230"/>
    <w:rsid w:val="1F105F15"/>
    <w:rsid w:val="1FB504FE"/>
    <w:rsid w:val="1FFA383F"/>
    <w:rsid w:val="20895C0A"/>
    <w:rsid w:val="222A162B"/>
    <w:rsid w:val="2233323A"/>
    <w:rsid w:val="224E20DB"/>
    <w:rsid w:val="22937891"/>
    <w:rsid w:val="24610AB5"/>
    <w:rsid w:val="250733D2"/>
    <w:rsid w:val="279A39F8"/>
    <w:rsid w:val="27BC0E8D"/>
    <w:rsid w:val="284735C4"/>
    <w:rsid w:val="285B64DE"/>
    <w:rsid w:val="29695C42"/>
    <w:rsid w:val="29C55868"/>
    <w:rsid w:val="29E1316E"/>
    <w:rsid w:val="29F80FE7"/>
    <w:rsid w:val="2A473C52"/>
    <w:rsid w:val="2B773392"/>
    <w:rsid w:val="2BC52ED8"/>
    <w:rsid w:val="2BDC076F"/>
    <w:rsid w:val="2CC9567C"/>
    <w:rsid w:val="2CD27F6C"/>
    <w:rsid w:val="2D432FE7"/>
    <w:rsid w:val="2D930E3D"/>
    <w:rsid w:val="2F220213"/>
    <w:rsid w:val="2F442A87"/>
    <w:rsid w:val="2F841177"/>
    <w:rsid w:val="30134210"/>
    <w:rsid w:val="31575D41"/>
    <w:rsid w:val="31D86DCF"/>
    <w:rsid w:val="34013B56"/>
    <w:rsid w:val="355D5FD5"/>
    <w:rsid w:val="364058FF"/>
    <w:rsid w:val="36B610CD"/>
    <w:rsid w:val="37723635"/>
    <w:rsid w:val="38B642D4"/>
    <w:rsid w:val="38FE4822"/>
    <w:rsid w:val="39E45D10"/>
    <w:rsid w:val="3A2953C0"/>
    <w:rsid w:val="3A5C1E5A"/>
    <w:rsid w:val="3AB81EF2"/>
    <w:rsid w:val="3AD153F6"/>
    <w:rsid w:val="3B34068A"/>
    <w:rsid w:val="3B694D14"/>
    <w:rsid w:val="3B905E2B"/>
    <w:rsid w:val="3B9610F4"/>
    <w:rsid w:val="3BB71C2D"/>
    <w:rsid w:val="3BD038FF"/>
    <w:rsid w:val="3BD61A36"/>
    <w:rsid w:val="3D152C6B"/>
    <w:rsid w:val="3EA37E97"/>
    <w:rsid w:val="3EB968CD"/>
    <w:rsid w:val="3EC318D5"/>
    <w:rsid w:val="3EC82FB3"/>
    <w:rsid w:val="3F142B57"/>
    <w:rsid w:val="3F1A7FAA"/>
    <w:rsid w:val="3F3E0AB4"/>
    <w:rsid w:val="3F984213"/>
    <w:rsid w:val="3F9F1F66"/>
    <w:rsid w:val="402B776A"/>
    <w:rsid w:val="41765C55"/>
    <w:rsid w:val="420A51B3"/>
    <w:rsid w:val="428E2D29"/>
    <w:rsid w:val="43D3409E"/>
    <w:rsid w:val="44A86E9A"/>
    <w:rsid w:val="45696BDB"/>
    <w:rsid w:val="465B0945"/>
    <w:rsid w:val="48526CD7"/>
    <w:rsid w:val="486B4F45"/>
    <w:rsid w:val="48AD19E8"/>
    <w:rsid w:val="49956A4F"/>
    <w:rsid w:val="49B303BC"/>
    <w:rsid w:val="4A730934"/>
    <w:rsid w:val="4C3E0A00"/>
    <w:rsid w:val="4CA65793"/>
    <w:rsid w:val="4D0F3BE0"/>
    <w:rsid w:val="4D8A139E"/>
    <w:rsid w:val="4EA93B43"/>
    <w:rsid w:val="4F42590E"/>
    <w:rsid w:val="4F7A44ED"/>
    <w:rsid w:val="4F9358A7"/>
    <w:rsid w:val="4FB870F0"/>
    <w:rsid w:val="5004570C"/>
    <w:rsid w:val="508C5CA4"/>
    <w:rsid w:val="50C44115"/>
    <w:rsid w:val="50C65541"/>
    <w:rsid w:val="50C67C69"/>
    <w:rsid w:val="52146C75"/>
    <w:rsid w:val="523F6E00"/>
    <w:rsid w:val="52EC3EDC"/>
    <w:rsid w:val="5316652D"/>
    <w:rsid w:val="53BD4A78"/>
    <w:rsid w:val="54A67235"/>
    <w:rsid w:val="55C0458D"/>
    <w:rsid w:val="58D008AE"/>
    <w:rsid w:val="59B92E76"/>
    <w:rsid w:val="5B6D2AC1"/>
    <w:rsid w:val="5B745643"/>
    <w:rsid w:val="5C71213D"/>
    <w:rsid w:val="5C8578BA"/>
    <w:rsid w:val="5CD9542F"/>
    <w:rsid w:val="5EB43F13"/>
    <w:rsid w:val="5EFD59EE"/>
    <w:rsid w:val="5F28567D"/>
    <w:rsid w:val="5F300F59"/>
    <w:rsid w:val="5FCF5D35"/>
    <w:rsid w:val="5FE14082"/>
    <w:rsid w:val="602264F2"/>
    <w:rsid w:val="60BC1E76"/>
    <w:rsid w:val="616B0C9C"/>
    <w:rsid w:val="62844F25"/>
    <w:rsid w:val="62D13935"/>
    <w:rsid w:val="635A435F"/>
    <w:rsid w:val="6621372E"/>
    <w:rsid w:val="668D51F5"/>
    <w:rsid w:val="669A30AB"/>
    <w:rsid w:val="66DB07C8"/>
    <w:rsid w:val="67C25F42"/>
    <w:rsid w:val="67ED7FD7"/>
    <w:rsid w:val="6838006B"/>
    <w:rsid w:val="683F3018"/>
    <w:rsid w:val="684568B6"/>
    <w:rsid w:val="688F22C8"/>
    <w:rsid w:val="68BD0B09"/>
    <w:rsid w:val="68CD7763"/>
    <w:rsid w:val="69961435"/>
    <w:rsid w:val="6A4F4329"/>
    <w:rsid w:val="6AF12B3E"/>
    <w:rsid w:val="6BB94644"/>
    <w:rsid w:val="6C2962AE"/>
    <w:rsid w:val="6C826573"/>
    <w:rsid w:val="6C8919B8"/>
    <w:rsid w:val="6CC65636"/>
    <w:rsid w:val="6CE76051"/>
    <w:rsid w:val="6D396ED7"/>
    <w:rsid w:val="6E914841"/>
    <w:rsid w:val="6EB1052D"/>
    <w:rsid w:val="6F863CF9"/>
    <w:rsid w:val="71576811"/>
    <w:rsid w:val="71B67D83"/>
    <w:rsid w:val="71CF0BED"/>
    <w:rsid w:val="71D66846"/>
    <w:rsid w:val="723C3332"/>
    <w:rsid w:val="726873F0"/>
    <w:rsid w:val="729D59B3"/>
    <w:rsid w:val="731759FD"/>
    <w:rsid w:val="734164C7"/>
    <w:rsid w:val="746E7275"/>
    <w:rsid w:val="751A7E63"/>
    <w:rsid w:val="769D02A6"/>
    <w:rsid w:val="769E7B7B"/>
    <w:rsid w:val="76AC6A44"/>
    <w:rsid w:val="77852CA3"/>
    <w:rsid w:val="778B6418"/>
    <w:rsid w:val="779A0D22"/>
    <w:rsid w:val="78BB0EB8"/>
    <w:rsid w:val="78CC2B01"/>
    <w:rsid w:val="79D044EF"/>
    <w:rsid w:val="7A436452"/>
    <w:rsid w:val="7A6A3136"/>
    <w:rsid w:val="7AFD1570"/>
    <w:rsid w:val="7B6E62FB"/>
    <w:rsid w:val="7BB44569"/>
    <w:rsid w:val="7CFD5584"/>
    <w:rsid w:val="7D810E5F"/>
    <w:rsid w:val="7D84768B"/>
    <w:rsid w:val="7DA912DF"/>
    <w:rsid w:val="7E2D0B3F"/>
    <w:rsid w:val="7E341C7F"/>
    <w:rsid w:val="7E89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page number"/>
    <w:basedOn w:val="10"/>
    <w:qFormat/>
    <w:uiPriority w:val="0"/>
  </w:style>
  <w:style w:type="paragraph" w:customStyle="1" w:styleId="12">
    <w:name w:val="批注文字 New New"/>
    <w:basedOn w:val="1"/>
    <w:qFormat/>
    <w:uiPriority w:val="0"/>
    <w:pPr>
      <w:jc w:val="left"/>
    </w:pPr>
    <w:rPr>
      <w:szCs w:val="20"/>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font0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3469</Words>
  <Characters>3760</Characters>
  <Lines>27</Lines>
  <Paragraphs>7</Paragraphs>
  <TotalTime>28</TotalTime>
  <ScaleCrop>false</ScaleCrop>
  <LinksUpToDate>false</LinksUpToDate>
  <CharactersWithSpaces>3815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佐宇</cp:lastModifiedBy>
  <cp:lastPrinted>2023-07-14T02:56:00Z</cp:lastPrinted>
  <dcterms:modified xsi:type="dcterms:W3CDTF">2023-08-06T02:07:15Z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B5BD99FD65774E7EA7BCB551143049BF_13</vt:lpwstr>
  </property>
</Properties>
</file>