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autoSpaceDE/>
        <w:autoSpaceDN/>
        <w:bidi w:val="0"/>
        <w:spacing w:line="440" w:lineRule="exact"/>
        <w:jc w:val="center"/>
        <w:textAlignment w:val="auto"/>
        <w:rPr>
          <w:rFonts w:hint="eastAsia" w:ascii="Times New Roman" w:hAnsi="Times New Roman" w:eastAsia="仿宋_GB2312" w:cs="方正小标宋简体"/>
          <w:b w:val="0"/>
          <w:bCs w:val="0"/>
          <w:color w:val="auto"/>
          <w:spacing w:val="3"/>
          <w:sz w:val="44"/>
          <w:szCs w:val="44"/>
          <w:highlight w:val="none"/>
        </w:rPr>
      </w:pPr>
      <w:r>
        <w:rPr>
          <w:rFonts w:hint="eastAsia" w:ascii="Times New Roman" w:hAnsi="Times New Roman" w:eastAsia="仿宋_GB2312" w:cs="方正小标宋简体"/>
          <w:b w:val="0"/>
          <w:bCs w:val="0"/>
          <w:color w:val="auto"/>
          <w:spacing w:val="3"/>
          <w:sz w:val="44"/>
          <w:szCs w:val="44"/>
          <w:highlight w:val="none"/>
        </w:rPr>
        <w:t>惠州市</w:t>
      </w:r>
      <w:r>
        <w:rPr>
          <w:rFonts w:hint="eastAsia" w:ascii="Times New Roman" w:hAnsi="Times New Roman" w:eastAsia="仿宋_GB2312" w:cs="方正小标宋简体"/>
          <w:b w:val="0"/>
          <w:bCs w:val="0"/>
          <w:color w:val="auto"/>
          <w:spacing w:val="3"/>
          <w:sz w:val="44"/>
          <w:szCs w:val="44"/>
          <w:highlight w:val="none"/>
          <w:lang w:eastAsia="zh-CN"/>
        </w:rPr>
        <w:t>龙门县</w:t>
      </w:r>
      <w:r>
        <w:rPr>
          <w:rFonts w:hint="eastAsia" w:ascii="Times New Roman" w:hAnsi="Times New Roman" w:eastAsia="仿宋_GB2312"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autoSpaceDE/>
        <w:autoSpaceDN/>
        <w:bidi w:val="0"/>
        <w:spacing w:line="440" w:lineRule="exact"/>
        <w:ind w:left="4018" w:hanging="4014" w:hangingChars="900"/>
        <w:jc w:val="center"/>
        <w:textAlignment w:val="auto"/>
        <w:rPr>
          <w:rFonts w:hint="eastAsia" w:ascii="Times New Roman" w:hAnsi="Times New Roman" w:eastAsia="仿宋_GB2312" w:cs="方正小标宋简体"/>
          <w:b w:val="0"/>
          <w:bCs w:val="0"/>
          <w:color w:val="auto"/>
          <w:sz w:val="44"/>
          <w:szCs w:val="44"/>
          <w:highlight w:val="none"/>
        </w:rPr>
      </w:pPr>
      <w:r>
        <w:rPr>
          <w:rFonts w:hint="eastAsia" w:ascii="Times New Roman" w:hAnsi="Times New Roman" w:eastAsia="仿宋_GB2312" w:cs="方正小标宋简体"/>
          <w:b w:val="0"/>
          <w:bCs w:val="0"/>
          <w:color w:val="auto"/>
          <w:spacing w:val="3"/>
          <w:sz w:val="44"/>
          <w:szCs w:val="44"/>
          <w:highlight w:val="none"/>
        </w:rPr>
        <w:t>网上挂牌</w:t>
      </w:r>
      <w:r>
        <w:rPr>
          <w:rFonts w:hint="eastAsia" w:ascii="Times New Roman" w:hAnsi="Times New Roman" w:eastAsia="仿宋_GB2312"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龙自然资挂</w:t>
      </w:r>
      <w:r>
        <w:rPr>
          <w:rFonts w:hint="eastAsia" w:ascii="Times New Roman" w:hAnsi="Times New Roman" w:eastAsia="仿宋_GB2312" w:cs="仿宋_GB2312"/>
          <w:b w:val="0"/>
          <w:bCs w:val="0"/>
          <w:color w:val="auto"/>
          <w:sz w:val="32"/>
          <w:szCs w:val="32"/>
          <w:highlight w:val="none"/>
          <w:lang w:eastAsia="zh-CN"/>
        </w:rPr>
        <w:t>﹝202</w:t>
      </w:r>
      <w:r>
        <w:rPr>
          <w:rFonts w:hint="eastAsia" w:ascii="Times New Roman" w:hAnsi="Times New Roman"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003</w:t>
      </w:r>
      <w:r>
        <w:rPr>
          <w:rFonts w:hint="eastAsia" w:ascii="Times New Roman" w:hAnsi="Times New Roman"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根据《招标拍卖挂牌出让国有建设用地使用权规定》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国土资源部令第39号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和《广东省土地使用权交易市场管理规定》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广东省人民政府令第79号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的规定，经批准，</w:t>
      </w:r>
      <w:r>
        <w:rPr>
          <w:rFonts w:hint="eastAsia" w:ascii="Times New Roman" w:hAnsi="Times New Roman" w:eastAsia="仿宋_GB2312" w:cs="仿宋_GB2312"/>
          <w:b w:val="0"/>
          <w:bCs w:val="0"/>
          <w:color w:val="auto"/>
          <w:sz w:val="32"/>
          <w:szCs w:val="32"/>
          <w:highlight w:val="none"/>
          <w:lang w:eastAsia="zh-CN"/>
        </w:rPr>
        <w:t>我</w:t>
      </w:r>
      <w:r>
        <w:rPr>
          <w:rFonts w:hint="eastAsia" w:ascii="Times New Roman" w:hAnsi="Times New Roman" w:eastAsia="仿宋_GB2312" w:cs="仿宋_GB2312"/>
          <w:b w:val="0"/>
          <w:bCs w:val="0"/>
          <w:color w:val="auto"/>
          <w:sz w:val="32"/>
          <w:szCs w:val="32"/>
          <w:highlight w:val="none"/>
        </w:rPr>
        <w:t>局决定以网上挂牌方式公开出让</w:t>
      </w:r>
      <w:r>
        <w:rPr>
          <w:rFonts w:hint="eastAsia" w:ascii="Times New Roman" w:hAnsi="Times New Roman"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eastAsia="zh-CN"/>
        </w:rPr>
        <w:t>宗</w:t>
      </w:r>
      <w:r>
        <w:rPr>
          <w:rFonts w:hint="eastAsia" w:ascii="Times New Roman" w:hAnsi="Times New Roman"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（一）公告时间：</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ascii="Times New Roman" w:hAnsi="Times New Roman" w:eastAsia="仿宋_GB2312" w:cs="仿宋_GB2312"/>
          <w:b w:val="0"/>
          <w:bCs w:val="0"/>
          <w:color w:val="auto"/>
          <w:sz w:val="32"/>
          <w:szCs w:val="32"/>
          <w:highlight w:val="none"/>
          <w:u w:val="single"/>
          <w:lang w:val="en-US" w:eastAsia="zh-CN"/>
        </w:rPr>
        <w:t>6</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30</w:t>
      </w:r>
      <w:r>
        <w:rPr>
          <w:rFonts w:hint="eastAsia" w:ascii="Times New Roman" w:hAnsi="Times New Roman" w:eastAsia="仿宋_GB2312" w:cs="仿宋_GB2312"/>
          <w:b w:val="0"/>
          <w:bCs w:val="0"/>
          <w:color w:val="auto"/>
          <w:sz w:val="32"/>
          <w:szCs w:val="32"/>
          <w:highlight w:val="none"/>
        </w:rPr>
        <w:t>日至</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ascii="Times New Roman" w:hAnsi="Times New Roman" w:eastAsia="仿宋_GB2312" w:cs="仿宋_GB2312"/>
          <w:b w:val="0"/>
          <w:bCs w:val="0"/>
          <w:color w:val="auto"/>
          <w:sz w:val="32"/>
          <w:szCs w:val="32"/>
          <w:highlight w:val="none"/>
          <w:u w:val="single"/>
          <w:lang w:val="en-US" w:eastAsia="zh-CN"/>
        </w:rPr>
        <w:t>7</w:t>
      </w:r>
      <w:r>
        <w:rPr>
          <w:rFonts w:hint="eastAsia" w:ascii="Times New Roman" w:hAnsi="Times New Roman" w:eastAsia="仿宋_GB2312" w:cs="仿宋_GB2312"/>
          <w:b w:val="0"/>
          <w:bCs w:val="0"/>
          <w:color w:val="auto"/>
          <w:sz w:val="32"/>
          <w:szCs w:val="32"/>
          <w:highlight w:val="none"/>
        </w:rPr>
        <w:t>月</w:t>
      </w:r>
      <w:r>
        <w:rPr>
          <w:rFonts w:hint="eastAsia" w:ascii="Times New Roman" w:hAnsi="Times New Roman" w:eastAsia="仿宋_GB2312" w:cs="仿宋_GB2312"/>
          <w:b w:val="0"/>
          <w:bCs w:val="0"/>
          <w:color w:val="auto"/>
          <w:sz w:val="32"/>
          <w:szCs w:val="32"/>
          <w:highlight w:val="none"/>
          <w:u w:val="single"/>
          <w:lang w:val="en-US" w:eastAsia="zh-CN"/>
        </w:rPr>
        <w:t>1</w:t>
      </w:r>
      <w:r>
        <w:rPr>
          <w:rFonts w:hint="eastAsia"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（二）网上挂牌竞买时间：</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ascii="Times New Roman" w:hAnsi="Times New Roman" w:eastAsia="仿宋_GB2312" w:cs="仿宋_GB2312"/>
          <w:b w:val="0"/>
          <w:bCs w:val="0"/>
          <w:color w:val="auto"/>
          <w:sz w:val="32"/>
          <w:szCs w:val="32"/>
          <w:highlight w:val="none"/>
          <w:u w:val="single"/>
          <w:lang w:val="en-US" w:eastAsia="zh-CN"/>
        </w:rPr>
        <w:t>7</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20</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时至</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ascii="Times New Roman" w:hAnsi="Times New Roman"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竞买保证金到账截止时间为：</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ascii="Times New Roman" w:hAnsi="Times New Roman"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5、至报名日止仍拖欠政府地价款</w:t>
      </w:r>
      <w:r>
        <w:rPr>
          <w:rFonts w:hint="eastAsia" w:ascii="Times New Roman" w:hAnsi="Times New Roman" w:eastAsia="仿宋_GB2312" w:cs="仿宋_GB2312"/>
          <w:b w:val="0"/>
          <w:bCs w:val="0"/>
          <w:color w:val="auto"/>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（三）LM2023-1号地块竞买申请人需具备房地产开发资质，且同一企业及控股公司只允许一家企业参与竞买。</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四）LM2023-1号地块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对于经审查资金来源不符合要求的，根据情况采取取消参与资格竞买、取消竞得资格、解除土地出让合同或收回已出让土地等措施，竞买保证金不予返还，一年内不得在龙门县参加土地竞买。</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960" w:firstLineChars="3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五、</w:t>
      </w:r>
      <w:r>
        <w:rPr>
          <w:rFonts w:hint="eastAsia" w:ascii="Times New Roman" w:hAnsi="Times New Roman"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（一）</w:t>
      </w:r>
      <w:r>
        <w:rPr>
          <w:rFonts w:hint="eastAsia" w:ascii="Times New Roman" w:hAnsi="Times New Roman"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Times New Roman" w:hAnsi="Times New Roman" w:eastAsia="仿宋_GB2312" w:cs="仿宋_GB2312"/>
          <w:i w:val="0"/>
          <w:iCs w:val="0"/>
          <w:caps w:val="0"/>
          <w:color w:val="auto"/>
          <w:spacing w:val="0"/>
          <w:sz w:val="32"/>
          <w:szCs w:val="32"/>
          <w:shd w:val="clear" w:fill="FFFFFF"/>
        </w:rPr>
        <w:t>，网址：https://www.hzgtjy.com/</w:t>
      </w:r>
      <w:r>
        <w:rPr>
          <w:rFonts w:hint="eastAsia" w:ascii="Times New Roman" w:hAnsi="Times New Roman"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六、</w:t>
      </w:r>
      <w:r>
        <w:rPr>
          <w:rFonts w:hint="eastAsia" w:ascii="Times New Roman" w:hAnsi="Times New Roman"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LM2023-7、LM2023-8、LM2023-9</w:t>
      </w:r>
      <w:r>
        <w:rPr>
          <w:rFonts w:hint="eastAsia" w:ascii="Times New Roman" w:hAnsi="Times New Roman"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LM2023-1地块采取“限地价、限房价”供地方式：每次报价加价幅度为人民币61万元的整数倍，最高限价为2334万元，按照价高者得原则确定竞得人，若有两名或两名以上竞买人报价均达到最高限价，则转为通过网上摇号方式确定竞得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成交候选人应在网上挂牌交易系统确定成交候选人之日起3个工作日内将竞买申请书等材料上传至土地与矿业网上挂牌交易系统，由我局对竞买资格进行审查。我局将于2023年8月</w:t>
      </w:r>
      <w:r>
        <w:rPr>
          <w:rFonts w:hint="eastAsia" w:eastAsia="仿宋_GB2312" w:cs="仿宋_GB2312"/>
          <w:b w:val="0"/>
          <w:bCs w:val="0"/>
          <w:color w:val="auto"/>
          <w:kern w:val="2"/>
          <w:sz w:val="32"/>
          <w:szCs w:val="32"/>
          <w:highlight w:val="none"/>
          <w:lang w:val="en-US" w:eastAsia="zh-CN" w:bidi="ar-SA"/>
        </w:rPr>
        <w:t>8</w:t>
      </w:r>
      <w:bookmarkStart w:id="0" w:name="_GoBack"/>
      <w:bookmarkEnd w:id="0"/>
      <w:r>
        <w:rPr>
          <w:rFonts w:hint="eastAsia" w:ascii="Times New Roman" w:hAnsi="Times New Roman" w:eastAsia="仿宋_GB2312" w:cs="仿宋_GB2312"/>
          <w:b w:val="0"/>
          <w:bCs w:val="0"/>
          <w:color w:val="auto"/>
          <w:kern w:val="2"/>
          <w:sz w:val="32"/>
          <w:szCs w:val="32"/>
          <w:highlight w:val="none"/>
          <w:lang w:val="en-US" w:eastAsia="zh-CN" w:bidi="ar-SA"/>
        </w:rPr>
        <w:t>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联合竞买协议（联合竞买的提供）；</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rPr>
        <w:t>LM2023-1号地块需提供</w:t>
      </w:r>
      <w:r>
        <w:rPr>
          <w:rFonts w:hint="eastAsia" w:ascii="Times New Roman" w:hAnsi="Times New Roman" w:eastAsia="仿宋_GB2312" w:cs="仿宋_GB2312"/>
          <w:b w:val="0"/>
          <w:bCs w:val="0"/>
          <w:color w:val="auto"/>
          <w:kern w:val="2"/>
          <w:sz w:val="32"/>
          <w:szCs w:val="32"/>
          <w:highlight w:val="none"/>
        </w:rPr>
        <w:t>房地产开发资质材料；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rPr>
        <w:t>LM2023-1号地块需</w:t>
      </w:r>
      <w:r>
        <w:rPr>
          <w:rFonts w:hint="eastAsia" w:ascii="Times New Roman" w:hAnsi="Times New Roman" w:eastAsia="仿宋_GB2312" w:cs="仿宋_GB2312"/>
          <w:b w:val="0"/>
          <w:bCs w:val="0"/>
          <w:color w:val="auto"/>
          <w:kern w:val="2"/>
          <w:sz w:val="32"/>
          <w:szCs w:val="32"/>
          <w:highlight w:val="none"/>
        </w:rPr>
        <w:t>购地资金来源相应证明及承诺书。</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竞得人应在接到竞得人确定通知之日起</w:t>
      </w:r>
      <w:r>
        <w:rPr>
          <w:rFonts w:hint="eastAsia" w:ascii="Times New Roman" w:hAnsi="Times New Roman" w:eastAsia="仿宋_GB2312" w:cs="仿宋_GB2312"/>
          <w:b w:val="0"/>
          <w:bCs w:val="0"/>
          <w:color w:val="auto"/>
          <w:sz w:val="32"/>
          <w:szCs w:val="32"/>
          <w:highlight w:val="none"/>
          <w:u w:val="single"/>
          <w:lang w:val="en-US" w:eastAsia="zh-CN"/>
        </w:rPr>
        <w:t>5</w:t>
      </w:r>
      <w:r>
        <w:rPr>
          <w:rFonts w:hint="eastAsia" w:ascii="Times New Roman" w:hAnsi="Times New Roman" w:eastAsia="仿宋_GB2312" w:cs="仿宋_GB2312"/>
          <w:b w:val="0"/>
          <w:bCs w:val="0"/>
          <w:color w:val="auto"/>
          <w:sz w:val="32"/>
          <w:szCs w:val="32"/>
          <w:highlight w:val="none"/>
        </w:rPr>
        <w:t>个工作日内</w:t>
      </w:r>
      <w:r>
        <w:rPr>
          <w:rFonts w:hint="eastAsia" w:ascii="Times New Roman" w:hAnsi="Times New Roman" w:eastAsia="仿宋_GB2312" w:cs="仿宋_GB2312"/>
          <w:b w:val="0"/>
          <w:bCs w:val="0"/>
          <w:color w:val="auto"/>
          <w:sz w:val="32"/>
          <w:szCs w:val="32"/>
          <w:highlight w:val="none"/>
          <w:lang w:eastAsia="zh-CN"/>
        </w:rPr>
        <w:t>与我局、交易中心</w:t>
      </w:r>
      <w:r>
        <w:rPr>
          <w:rFonts w:hint="eastAsia" w:ascii="Times New Roman" w:hAnsi="Times New Roman" w:eastAsia="仿宋_GB2312" w:cs="仿宋_GB2312"/>
          <w:b w:val="0"/>
          <w:bCs w:val="0"/>
          <w:color w:val="auto"/>
          <w:sz w:val="32"/>
          <w:szCs w:val="32"/>
          <w:highlight w:val="none"/>
        </w:rPr>
        <w:t>签订《成交确认书》，在签订《成交确认书》之日起</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u w:val="none"/>
          <w:lang w:val="en-US" w:eastAsia="zh-CN"/>
        </w:rPr>
        <w:t>个工作日</w:t>
      </w:r>
      <w:r>
        <w:rPr>
          <w:rFonts w:hint="eastAsia" w:ascii="Times New Roman" w:hAnsi="Times New Roman"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签订交易合同，竞得人</w:t>
      </w:r>
      <w:r>
        <w:rPr>
          <w:rFonts w:hint="eastAsia" w:ascii="Times New Roman" w:hAnsi="Times New Roman" w:eastAsia="仿宋_GB2312" w:cs="仿宋_GB2312"/>
          <w:b w:val="0"/>
          <w:bCs w:val="0"/>
          <w:color w:val="auto"/>
          <w:sz w:val="32"/>
          <w:szCs w:val="32"/>
          <w:highlight w:val="none"/>
          <w:shd w:val="clear" w:color="auto" w:fill="auto"/>
          <w:lang w:eastAsia="zh-CN"/>
        </w:rPr>
        <w:t>交</w:t>
      </w:r>
      <w:r>
        <w:rPr>
          <w:rFonts w:hint="eastAsia" w:ascii="Times New Roman" w:hAnsi="Times New Roman" w:eastAsia="仿宋_GB2312" w:cs="仿宋_GB2312"/>
          <w:b w:val="0"/>
          <w:bCs w:val="0"/>
          <w:color w:val="auto"/>
          <w:sz w:val="32"/>
          <w:szCs w:val="32"/>
          <w:highlight w:val="none"/>
          <w:shd w:val="clear" w:color="auto" w:fill="auto"/>
        </w:rPr>
        <w:t>纳</w:t>
      </w:r>
      <w:r>
        <w:rPr>
          <w:rFonts w:hint="eastAsia" w:ascii="Times New Roman" w:hAnsi="Times New Roman" w:eastAsia="仿宋_GB2312" w:cs="仿宋_GB2312"/>
          <w:b w:val="0"/>
          <w:bCs w:val="0"/>
          <w:color w:val="auto"/>
          <w:sz w:val="32"/>
          <w:szCs w:val="32"/>
          <w:highlight w:val="none"/>
        </w:rPr>
        <w:t>的竞买保证金按成交价的</w:t>
      </w:r>
      <w:r>
        <w:rPr>
          <w:rFonts w:hint="eastAsia" w:ascii="Times New Roman" w:hAnsi="Times New Roman" w:eastAsia="仿宋_GB2312" w:cs="仿宋_GB2312"/>
          <w:b w:val="0"/>
          <w:bCs w:val="0"/>
          <w:color w:val="auto"/>
          <w:sz w:val="32"/>
          <w:szCs w:val="32"/>
          <w:highlight w:val="none"/>
          <w:u w:val="single"/>
          <w:lang w:val="en-US" w:eastAsia="zh-CN"/>
        </w:rPr>
        <w:t>20</w:t>
      </w:r>
      <w:r>
        <w:rPr>
          <w:rFonts w:hint="eastAsia" w:ascii="Times New Roman" w:hAnsi="Times New Roman"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二</w:t>
      </w:r>
      <w:r>
        <w:rPr>
          <w:rFonts w:hint="eastAsia" w:ascii="Times New Roman" w:hAnsi="Times New Roman"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土地成交价款须以人民币支付,竞得人在签订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之日起</w:t>
      </w:r>
      <w:r>
        <w:rPr>
          <w:rFonts w:hint="eastAsia" w:ascii="Times New Roman" w:hAnsi="Times New Roman" w:eastAsia="仿宋_GB2312" w:cs="仿宋_GB2312"/>
          <w:b w:val="0"/>
          <w:bCs w:val="0"/>
          <w:color w:val="auto"/>
          <w:sz w:val="32"/>
          <w:szCs w:val="32"/>
          <w:highlight w:val="none"/>
          <w:u w:val="single"/>
          <w:lang w:val="en-US" w:eastAsia="zh-CN"/>
        </w:rPr>
        <w:t>30</w:t>
      </w:r>
      <w:r>
        <w:rPr>
          <w:rFonts w:hint="eastAsia" w:ascii="Times New Roman" w:hAnsi="Times New Roman"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三</w:t>
      </w:r>
      <w:r>
        <w:rPr>
          <w:rFonts w:hint="eastAsia" w:ascii="Times New Roman" w:hAnsi="Times New Roman"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四</w:t>
      </w:r>
      <w:r>
        <w:rPr>
          <w:rFonts w:hint="eastAsia" w:ascii="Times New Roman" w:hAnsi="Times New Roman"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竞得人在付清地价款后一个月内办理交地手续，凭《</w:t>
      </w:r>
      <w:r>
        <w:rPr>
          <w:rFonts w:hint="eastAsia" w:ascii="Times New Roman" w:hAnsi="Times New Roman" w:eastAsia="仿宋_GB2312" w:cs="仿宋_GB2312"/>
          <w:b w:val="0"/>
          <w:bCs w:val="0"/>
          <w:color w:val="auto"/>
          <w:sz w:val="32"/>
          <w:szCs w:val="32"/>
          <w:highlight w:val="none"/>
          <w:lang w:eastAsia="zh-CN"/>
        </w:rPr>
        <w:t>成交</w:t>
      </w:r>
      <w:r>
        <w:rPr>
          <w:rFonts w:hint="eastAsia" w:ascii="Times New Roman" w:hAnsi="Times New Roman"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（五）土地开发及使用规定</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1、竞得人在用地红线内开发建设必须按《建设用地规划设计条件》的规划控制指标要求及有关规定进行规划设计，配建相关配套设施。</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LM2023-7、LM2023-8、LM2023-9所经营的产业类型为专用设备制造业项目；投资强度需不低于人民币4500元/平方米，自土地交付之日起第五个自然年全面达产，达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3、LM2023-7、LM2023-8、LM2023-9竞得人在签订《出让合同》前，须向县自然资源局提交《产业发展承诺书》作为《出让合同》的附件。</w:t>
      </w:r>
    </w:p>
    <w:p>
      <w:pPr>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color w:val="auto"/>
          <w:kern w:val="0"/>
          <w:sz w:val="32"/>
          <w:szCs w:val="32"/>
          <w:highlight w:val="none"/>
          <w:lang w:val="en-US" w:eastAsia="zh-CN"/>
        </w:rPr>
        <w:t>4、LM2023-1号</w:t>
      </w:r>
      <w:r>
        <w:rPr>
          <w:rFonts w:hint="eastAsia" w:ascii="Times New Roman" w:hAnsi="Times New Roman" w:eastAsia="仿宋_GB2312" w:cs="仿宋_GB2312"/>
          <w:color w:val="auto"/>
          <w:kern w:val="0"/>
          <w:sz w:val="32"/>
          <w:szCs w:val="32"/>
          <w:highlight w:val="none"/>
        </w:rPr>
        <w:t>地块所建商品住房单套毛坯住宅销售均价不高于</w:t>
      </w:r>
      <w:r>
        <w:rPr>
          <w:rFonts w:hint="eastAsia" w:ascii="Times New Roman" w:hAnsi="Times New Roman" w:eastAsia="仿宋_GB2312" w:cs="仿宋_GB2312"/>
          <w:color w:val="auto"/>
          <w:kern w:val="0"/>
          <w:sz w:val="32"/>
          <w:szCs w:val="32"/>
          <w:highlight w:val="none"/>
          <w:lang w:val="en-US" w:eastAsia="zh-CN"/>
        </w:rPr>
        <w:t>7631</w:t>
      </w:r>
      <w:r>
        <w:rPr>
          <w:rFonts w:hint="eastAsia" w:ascii="Times New Roman" w:hAnsi="Times New Roman" w:eastAsia="仿宋_GB2312" w:cs="仿宋_GB2312"/>
          <w:color w:val="auto"/>
          <w:kern w:val="0"/>
          <w:sz w:val="32"/>
          <w:szCs w:val="32"/>
          <w:highlight w:val="none"/>
        </w:rPr>
        <w:t>元/平方米，单套毛坯</w:t>
      </w:r>
      <w:r>
        <w:rPr>
          <w:rFonts w:hint="eastAsia" w:ascii="Times New Roman" w:hAnsi="Times New Roman" w:eastAsia="仿宋_GB2312" w:cs="仿宋_GB2312"/>
          <w:color w:val="auto"/>
          <w:kern w:val="0"/>
          <w:sz w:val="32"/>
          <w:szCs w:val="32"/>
          <w:highlight w:val="none"/>
          <w:lang w:eastAsia="zh-CN"/>
        </w:rPr>
        <w:t>住宅</w:t>
      </w:r>
      <w:r>
        <w:rPr>
          <w:rFonts w:hint="eastAsia" w:ascii="Times New Roman" w:hAnsi="Times New Roman" w:eastAsia="仿宋_GB2312" w:cs="仿宋_GB2312"/>
          <w:color w:val="auto"/>
          <w:kern w:val="0"/>
          <w:sz w:val="32"/>
          <w:szCs w:val="32"/>
          <w:highlight w:val="none"/>
        </w:rPr>
        <w:t>销售价不高于</w:t>
      </w:r>
      <w:r>
        <w:rPr>
          <w:rFonts w:hint="eastAsia" w:ascii="Times New Roman" w:hAnsi="Times New Roman" w:eastAsia="仿宋_GB2312" w:cs="仿宋_GB2312"/>
          <w:color w:val="auto"/>
          <w:kern w:val="0"/>
          <w:sz w:val="32"/>
          <w:szCs w:val="32"/>
          <w:highlight w:val="none"/>
          <w:lang w:val="en-US" w:eastAsia="zh-CN"/>
        </w:rPr>
        <w:t>8394</w:t>
      </w:r>
      <w:r>
        <w:rPr>
          <w:rFonts w:hint="eastAsia" w:ascii="Times New Roman" w:hAnsi="Times New Roman" w:eastAsia="仿宋_GB2312" w:cs="仿宋_GB2312"/>
          <w:color w:val="auto"/>
          <w:kern w:val="0"/>
          <w:sz w:val="32"/>
          <w:szCs w:val="32"/>
          <w:highlight w:val="none"/>
        </w:rPr>
        <w:t>元/平方米，由龙门县住房和城乡建设局负责执行和监管。</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十五、</w:t>
      </w:r>
      <w:r>
        <w:rPr>
          <w:rFonts w:hint="eastAsia" w:ascii="Times New Roman" w:hAnsi="Times New Roman"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出让方：</w:t>
      </w:r>
      <w:r>
        <w:rPr>
          <w:rFonts w:hint="eastAsia" w:ascii="Times New Roman" w:hAnsi="Times New Roman"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rPr>
        <w:t>联系电话：</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0752</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交易机构：</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注：本公告同时在下列网站及</w:t>
      </w:r>
      <w:r>
        <w:rPr>
          <w:rFonts w:hint="eastAsia" w:ascii="Times New Roman" w:hAnsi="Times New Roman" w:eastAsia="仿宋_GB2312" w:cs="仿宋_GB2312"/>
          <w:b w:val="0"/>
          <w:bCs w:val="0"/>
          <w:color w:val="auto"/>
          <w:sz w:val="32"/>
          <w:szCs w:val="32"/>
          <w:highlight w:val="none"/>
          <w:lang w:val="en-US" w:eastAsia="zh-CN"/>
        </w:rPr>
        <w:t>报刊</w:t>
      </w:r>
      <w:r>
        <w:rPr>
          <w:rFonts w:hint="eastAsia" w:ascii="Times New Roman" w:hAnsi="Times New Roman"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广东</w:t>
      </w:r>
      <w:r>
        <w:rPr>
          <w:rFonts w:hint="eastAsia" w:ascii="Times New Roman" w:hAnsi="Times New Roman" w:eastAsia="仿宋_GB2312" w:cs="仿宋_GB2312"/>
          <w:i w:val="0"/>
          <w:caps w:val="0"/>
          <w:color w:val="auto"/>
          <w:spacing w:val="0"/>
          <w:sz w:val="32"/>
          <w:szCs w:val="32"/>
          <w:highlight w:val="none"/>
          <w:shd w:val="clear" w:color="auto" w:fill="FFFFFF"/>
        </w:rPr>
        <w:t>省公共资源交易平台</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rPr>
        <w:t>https://ygp.gdzwfw.gov.cn</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firstLine="4800" w:firstLineChars="1500"/>
        <w:textAlignment w:val="auto"/>
        <w:rPr>
          <w:rFonts w:hint="eastAsia"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u w:val="none"/>
          <w:lang w:val="en-US" w:eastAsia="zh-CN"/>
        </w:rPr>
        <w:t>龙门县</w:t>
      </w:r>
      <w:r>
        <w:rPr>
          <w:rFonts w:hint="eastAsia" w:ascii="Times New Roman" w:hAnsi="Times New Roman" w:eastAsia="仿宋_GB2312" w:cs="仿宋_GB2312"/>
          <w:b w:val="0"/>
          <w:bCs w:val="0"/>
          <w:color w:val="auto"/>
          <w:sz w:val="32"/>
          <w:szCs w:val="32"/>
          <w:highlight w:val="none"/>
        </w:rPr>
        <w:t>自然资源局</w:t>
      </w:r>
      <w:r>
        <w:rPr>
          <w:rFonts w:hint="eastAsia" w:ascii="Times New Roman" w:hAnsi="Times New Roman"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2023</w:t>
      </w:r>
      <w:r>
        <w:rPr>
          <w:rFonts w:hint="eastAsia" w:ascii="Times New Roman" w:hAnsi="Times New Roman" w:eastAsia="仿宋_GB2312" w:cs="仿宋_GB2312"/>
          <w:b w:val="0"/>
          <w:bCs w:val="0"/>
          <w:color w:val="auto"/>
          <w:sz w:val="32"/>
          <w:szCs w:val="32"/>
          <w:highlight w:val="none"/>
        </w:rPr>
        <w:t>年</w:t>
      </w:r>
      <w:r>
        <w:rPr>
          <w:rFonts w:hint="eastAsia" w:ascii="Times New Roman" w:hAnsi="Times New Roman" w:eastAsia="仿宋_GB2312" w:cs="仿宋_GB2312"/>
          <w:b w:val="0"/>
          <w:bCs w:val="0"/>
          <w:color w:val="auto"/>
          <w:sz w:val="32"/>
          <w:szCs w:val="32"/>
          <w:highlight w:val="none"/>
          <w:lang w:val="en-US" w:eastAsia="zh-CN"/>
        </w:rPr>
        <w:t>6</w:t>
      </w:r>
      <w:r>
        <w:rPr>
          <w:rFonts w:hint="eastAsia" w:ascii="Times New Roman" w:hAnsi="Times New Roman" w:eastAsia="仿宋_GB2312" w:cs="仿宋_GB2312"/>
          <w:b w:val="0"/>
          <w:bCs w:val="0"/>
          <w:color w:val="auto"/>
          <w:sz w:val="32"/>
          <w:szCs w:val="32"/>
          <w:highlight w:val="none"/>
        </w:rPr>
        <w:t>月</w:t>
      </w:r>
      <w:r>
        <w:rPr>
          <w:rFonts w:hint="eastAsia" w:ascii="Times New Roman" w:hAnsi="Times New Roman" w:eastAsia="仿宋_GB2312" w:cs="仿宋_GB2312"/>
          <w:b w:val="0"/>
          <w:bCs w:val="0"/>
          <w:color w:val="auto"/>
          <w:sz w:val="32"/>
          <w:szCs w:val="32"/>
          <w:highlight w:val="none"/>
          <w:u w:val="none"/>
          <w:lang w:val="en-US" w:eastAsia="zh-CN"/>
        </w:rPr>
        <w:t>2</w:t>
      </w:r>
      <w:r>
        <w:rPr>
          <w:rFonts w:hint="eastAsia" w:eastAsia="仿宋_GB2312" w:cs="仿宋_GB2312"/>
          <w:b w:val="0"/>
          <w:bCs w:val="0"/>
          <w:color w:val="auto"/>
          <w:sz w:val="32"/>
          <w:szCs w:val="32"/>
          <w:highlight w:val="none"/>
          <w:u w:val="none"/>
          <w:lang w:val="en-US" w:eastAsia="zh-CN"/>
        </w:rPr>
        <w:t>9</w:t>
      </w:r>
      <w:r>
        <w:rPr>
          <w:rFonts w:hint="eastAsia" w:ascii="Times New Roman" w:hAnsi="Times New Roman"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40" w:lineRule="exact"/>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附表：</w:t>
      </w:r>
    </w:p>
    <w:p>
      <w:pPr>
        <w:spacing w:line="360" w:lineRule="auto"/>
        <w:jc w:val="cente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网上挂牌出让地块规划建设指标及挂牌起始价</w:t>
      </w:r>
    </w:p>
    <w:p>
      <w:pPr>
        <w:spacing w:line="360" w:lineRule="auto"/>
        <w:jc w:val="both"/>
        <w:rPr>
          <w:rFonts w:hint="eastAsia" w:ascii="Times New Roman" w:hAnsi="Times New Roman" w:eastAsia="仿宋_GB2312"/>
          <w:color w:val="auto"/>
          <w:sz w:val="32"/>
          <w:szCs w:val="32"/>
        </w:rPr>
      </w:pPr>
    </w:p>
    <w:tbl>
      <w:tblPr>
        <w:tblStyle w:val="9"/>
        <w:tblpPr w:leftFromText="180" w:rightFromText="180" w:vertAnchor="text" w:horzAnchor="page" w:tblpX="421" w:tblpY="263"/>
        <w:tblOverlap w:val="never"/>
        <w:tblW w:w="53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1255"/>
        <w:gridCol w:w="915"/>
        <w:gridCol w:w="731"/>
        <w:gridCol w:w="876"/>
        <w:gridCol w:w="771"/>
        <w:gridCol w:w="785"/>
        <w:gridCol w:w="706"/>
        <w:gridCol w:w="771"/>
        <w:gridCol w:w="1307"/>
        <w:gridCol w:w="562"/>
        <w:gridCol w:w="929"/>
        <w:gridCol w:w="1594"/>
        <w:gridCol w:w="484"/>
        <w:gridCol w:w="666"/>
        <w:gridCol w:w="863"/>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3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挂牌地块</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编号</w:t>
            </w:r>
          </w:p>
        </w:tc>
        <w:tc>
          <w:tcPr>
            <w:tcW w:w="4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土地</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位置</w:t>
            </w:r>
          </w:p>
        </w:tc>
        <w:tc>
          <w:tcPr>
            <w:tcW w:w="29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用地编号</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土地用途</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宗地使用权面积（㎡）</w:t>
            </w:r>
          </w:p>
        </w:tc>
        <w:tc>
          <w:tcPr>
            <w:tcW w:w="2427"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规划指标要求</w:t>
            </w:r>
          </w:p>
        </w:tc>
        <w:tc>
          <w:tcPr>
            <w:tcW w:w="158"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出让</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年限</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w:t>
            </w:r>
          </w:p>
        </w:tc>
        <w:tc>
          <w:tcPr>
            <w:tcW w:w="2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挂牌起始价</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竞买</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保证金</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加价幅</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99" w:type="pct"/>
            <w:vMerge w:val="continue"/>
            <w:tcBorders>
              <w:left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计算指标用地面积（㎡）</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容积率</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建筑密度（%）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绿地率（%）</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计容积率</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面积（㎡）</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建筑高度（m）</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机动车停车位配建标准（个/100㎡）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olor w:val="auto"/>
                <w:lang w:val="en-US" w:eastAsia="zh-CN"/>
              </w:rPr>
              <w:t>适建性</w:t>
            </w:r>
          </w:p>
          <w:p>
            <w:pPr>
              <w:pStyle w:val="2"/>
              <w:ind w:left="0" w:leftChars="0" w:firstLine="300" w:firstLineChars="100"/>
              <w:rPr>
                <w:rFonts w:hint="eastAsia" w:ascii="Times New Roman" w:hAnsi="Times New Roman" w:eastAsia="仿宋_GB2312"/>
                <w:color w:val="auto"/>
                <w:lang w:val="en-US" w:eastAsia="zh-CN"/>
              </w:rPr>
            </w:pPr>
          </w:p>
        </w:tc>
        <w:tc>
          <w:tcPr>
            <w:tcW w:w="158" w:type="pct"/>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LM2023-1</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2"/>
                <w:sz w:val="21"/>
                <w:szCs w:val="21"/>
                <w:u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麻榨镇南滩村</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仿宋_GB2312"/>
                <w:b w:val="0"/>
                <w:bCs w:val="0"/>
                <w:color w:val="auto"/>
                <w:sz w:val="24"/>
                <w:szCs w:val="24"/>
                <w:highlight w:val="none"/>
                <w:lang w:val="en-US" w:eastAsia="zh-CN"/>
              </w:rPr>
              <w:t>D07-04-01</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城镇住宅用地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4000.48</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4000.48</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b w:val="0"/>
                <w:bCs w:val="0"/>
                <w:i w:val="0"/>
                <w:iCs w:val="0"/>
                <w:color w:val="auto"/>
                <w:kern w:val="2"/>
                <w:sz w:val="21"/>
                <w:szCs w:val="21"/>
                <w:u w:val="none"/>
                <w:lang w:val="en-US" w:eastAsia="zh-CN" w:bidi="ar-SA"/>
              </w:rPr>
            </w:pPr>
            <w:r>
              <w:rPr>
                <w:rFonts w:hint="eastAsia" w:ascii="Times New Roman" w:hAnsi="Times New Roman" w:eastAsia="仿宋_GB2312" w:cs="宋体"/>
                <w:i w:val="0"/>
                <w:iCs w:val="0"/>
                <w:color w:val="auto"/>
                <w:sz w:val="21"/>
                <w:szCs w:val="21"/>
                <w:u w:val="none"/>
              </w:rPr>
              <w:t>1</w:t>
            </w:r>
            <w:r>
              <w:rPr>
                <w:rFonts w:hint="eastAsia" w:ascii="Times New Roman" w:hAnsi="Times New Roman" w:eastAsia="仿宋_GB2312" w:cs="宋体"/>
                <w:i w:val="0"/>
                <w:iCs w:val="0"/>
                <w:color w:val="auto"/>
                <w:sz w:val="21"/>
                <w:szCs w:val="21"/>
                <w:u w:val="none"/>
                <w:lang w:val="en-US" w:eastAsia="zh-CN"/>
              </w:rPr>
              <w:t>.0-</w:t>
            </w:r>
            <w:r>
              <w:rPr>
                <w:rFonts w:hint="eastAsia" w:ascii="Times New Roman" w:hAnsi="Times New Roman" w:eastAsia="仿宋_GB2312" w:cs="宋体"/>
                <w:i w:val="0"/>
                <w:iCs w:val="0"/>
                <w:color w:val="auto"/>
                <w:sz w:val="21"/>
                <w:szCs w:val="21"/>
                <w:u w:val="none"/>
              </w:rPr>
              <w:t>3.5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2"/>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4000.48-14001.68</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2"/>
                <w:sz w:val="21"/>
                <w:szCs w:val="21"/>
                <w:u w:val="none"/>
                <w:lang w:val="en-US" w:eastAsia="zh-CN" w:bidi="ar-SA"/>
              </w:rPr>
            </w:pPr>
            <w:r>
              <w:rPr>
                <w:rFonts w:hint="eastAsia" w:ascii="Times New Roman" w:hAnsi="Times New Roman" w:eastAsia="仿宋_GB2312" w:cs="宋体"/>
                <w:i w:val="0"/>
                <w:iCs w:val="0"/>
                <w:color w:val="auto"/>
                <w:kern w:val="0"/>
                <w:sz w:val="21"/>
                <w:szCs w:val="21"/>
                <w:u w:val="none"/>
                <w:lang w:val="en-US" w:eastAsia="zh-CN" w:bidi="ar"/>
              </w:rPr>
              <w:t>≤60</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≥1.0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住宅、商业及配套设施</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70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sz w:val="21"/>
                <w:szCs w:val="21"/>
                <w:u w:val="none"/>
                <w:lang w:val="en-US" w:eastAsia="zh-CN"/>
              </w:rPr>
              <w:t>2030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sz w:val="21"/>
                <w:szCs w:val="21"/>
                <w:u w:val="none"/>
                <w:lang w:val="en-US" w:eastAsia="zh-CN"/>
              </w:rPr>
              <w:t>1015</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sz w:val="21"/>
                <w:szCs w:val="21"/>
                <w:u w:val="none"/>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LM2023-7</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eastAsia" w:ascii="Times New Roman" w:hAnsi="Times New Roman" w:eastAsia="仿宋_GB2312" w:cs="宋体"/>
                <w:i w:val="0"/>
                <w:iCs w:val="0"/>
                <w:color w:val="auto"/>
                <w:sz w:val="21"/>
                <w:szCs w:val="21"/>
                <w:u w:val="none"/>
                <w:lang w:val="en-US" w:eastAsia="zh-CN"/>
              </w:rPr>
              <w:t>惠州产业转移工业园平陵集聚片区</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PJ-34-01</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工业用地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16666.88</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16666.88</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b w:val="0"/>
                <w:bCs w:val="0"/>
                <w:i w:val="0"/>
                <w:iCs w:val="0"/>
                <w:color w:val="auto"/>
                <w:kern w:val="2"/>
                <w:sz w:val="21"/>
                <w:szCs w:val="21"/>
                <w:u w:val="none"/>
                <w:lang w:val="en-US" w:eastAsia="zh-CN" w:bidi="ar-SA"/>
              </w:rPr>
            </w:pPr>
            <w:r>
              <w:rPr>
                <w:rFonts w:hint="eastAsia" w:ascii="Times New Roman" w:hAnsi="Times New Roman" w:eastAsia="仿宋_GB2312" w:cs="宋体"/>
                <w:b w:val="0"/>
                <w:bCs w:val="0"/>
                <w:i w:val="0"/>
                <w:iCs w:val="0"/>
                <w:color w:val="auto"/>
                <w:kern w:val="0"/>
                <w:sz w:val="21"/>
                <w:szCs w:val="21"/>
                <w:u w:val="none"/>
                <w:lang w:val="en-US" w:eastAsia="zh-CN" w:bidi="ar"/>
              </w:rPr>
              <w:t>1.2-3.5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kern w:val="2"/>
                <w:sz w:val="21"/>
                <w:szCs w:val="21"/>
                <w:u w:val="none"/>
                <w:lang w:val="en-US" w:eastAsia="zh-CN" w:bidi="ar-SA"/>
              </w:rPr>
            </w:pPr>
            <w:r>
              <w:rPr>
                <w:rFonts w:hint="eastAsia" w:ascii="Times New Roman" w:hAnsi="Times New Roman" w:eastAsia="仿宋_GB2312" w:cs="宋体"/>
                <w:i w:val="0"/>
                <w:iCs w:val="0"/>
                <w:color w:val="auto"/>
                <w:kern w:val="0"/>
                <w:sz w:val="21"/>
                <w:szCs w:val="21"/>
                <w:u w:val="none"/>
                <w:lang w:val="en-US" w:eastAsia="zh-CN" w:bidi="ar"/>
              </w:rPr>
              <w:t>15-20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2"/>
                <w:sz w:val="21"/>
                <w:szCs w:val="21"/>
                <w:u w:val="none"/>
                <w:lang w:val="en-US" w:eastAsia="zh-CN" w:bidi="ar"/>
              </w:rPr>
            </w:pPr>
            <w:r>
              <w:rPr>
                <w:rFonts w:hint="eastAsia" w:ascii="Times New Roman" w:hAnsi="Times New Roman" w:eastAsia="仿宋_GB2312" w:cs="宋体"/>
                <w:b w:val="0"/>
                <w:bCs w:val="0"/>
                <w:i w:val="0"/>
                <w:iCs w:val="0"/>
                <w:color w:val="auto"/>
                <w:kern w:val="0"/>
                <w:sz w:val="21"/>
                <w:szCs w:val="21"/>
                <w:u w:val="none"/>
                <w:lang w:val="en-US" w:eastAsia="zh-CN" w:bidi="ar"/>
              </w:rPr>
              <w:t>20000.26-58334.08</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eastAsia" w:ascii="Times New Roman" w:hAnsi="Times New Roman" w:eastAsia="仿宋_GB2312" w:cs="宋体"/>
                <w:i w:val="0"/>
                <w:iCs w:val="0"/>
                <w:color w:val="auto"/>
                <w:kern w:val="0"/>
                <w:sz w:val="21"/>
                <w:szCs w:val="21"/>
                <w:u w:val="none"/>
                <w:lang w:val="en-US" w:eastAsia="zh-CN" w:bidi="ar"/>
              </w:rPr>
              <w:t>/</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≥0.3</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行政办公及生活服务设施用地不得超过项目用地面积的</w:t>
            </w:r>
            <w:r>
              <w:rPr>
                <w:rFonts w:hint="eastAsia" w:ascii="Times New Roman" w:hAnsi="Times New Roman" w:eastAsia="仿宋_GB2312" w:cs="宋体"/>
                <w:i w:val="0"/>
                <w:iCs w:val="0"/>
                <w:color w:val="auto"/>
                <w:sz w:val="21"/>
                <w:szCs w:val="21"/>
                <w:u w:val="none"/>
                <w:lang w:val="en-US" w:eastAsia="zh-CN"/>
              </w:rPr>
              <w:t>7</w:t>
            </w:r>
            <w:r>
              <w:rPr>
                <w:rFonts w:hint="eastAsia" w:ascii="Times New Roman" w:hAnsi="Times New Roman" w:eastAsia="仿宋_GB2312" w:cs="宋体"/>
                <w:i w:val="0"/>
                <w:iCs w:val="0"/>
                <w:color w:val="auto"/>
                <w:kern w:val="0"/>
                <w:sz w:val="21"/>
                <w:szCs w:val="21"/>
                <w:u w:val="none"/>
                <w:lang w:val="en-US" w:eastAsia="zh-CN" w:bidi="ar"/>
              </w:rPr>
              <w:t>%</w:t>
            </w:r>
            <w:r>
              <w:rPr>
                <w:rFonts w:hint="eastAsia" w:ascii="Times New Roman" w:hAnsi="Times New Roman" w:eastAsia="仿宋_GB2312" w:cs="宋体"/>
                <w:i w:val="0"/>
                <w:iCs w:val="0"/>
                <w:color w:val="auto"/>
                <w:sz w:val="21"/>
                <w:szCs w:val="21"/>
                <w:u w:val="none"/>
                <w:lang w:val="en-US" w:eastAsia="zh-CN"/>
              </w:rPr>
              <w:t>，且建筑面积不得超过项目总计容建筑面积的20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670</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335</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LM2023-8</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惠州产业转移工业园平陵集聚片区</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PJ-34-02</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工业用地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3039.43</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3039.43</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b w:val="0"/>
                <w:bCs w:val="0"/>
                <w:i w:val="0"/>
                <w:iCs w:val="0"/>
                <w:color w:val="auto"/>
                <w:sz w:val="21"/>
                <w:szCs w:val="21"/>
                <w:u w:val="none"/>
                <w:lang w:val="en-US" w:eastAsia="zh-CN"/>
              </w:rPr>
            </w:pPr>
            <w:r>
              <w:rPr>
                <w:rFonts w:hint="eastAsia" w:ascii="Times New Roman" w:hAnsi="Times New Roman" w:eastAsia="仿宋_GB2312" w:cs="宋体"/>
                <w:b w:val="0"/>
                <w:bCs w:val="0"/>
                <w:i w:val="0"/>
                <w:iCs w:val="0"/>
                <w:color w:val="auto"/>
                <w:kern w:val="0"/>
                <w:sz w:val="21"/>
                <w:szCs w:val="21"/>
                <w:u w:val="none"/>
                <w:lang w:val="en-US" w:eastAsia="zh-CN" w:bidi="ar"/>
              </w:rPr>
              <w:t>1.2-3.5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宋体"/>
                <w:i w:val="0"/>
                <w:iCs w:val="0"/>
                <w:color w:val="auto"/>
                <w:kern w:val="0"/>
                <w:sz w:val="21"/>
                <w:szCs w:val="21"/>
                <w:u w:val="none"/>
                <w:lang w:val="en-US" w:eastAsia="zh-CN" w:bidi="ar"/>
              </w:rPr>
              <w:t>15-20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ascii="Times New Roman" w:hAnsi="Times New Roman" w:eastAsia="仿宋_GB2312"/>
                <w:color w:val="auto"/>
                <w:lang w:val="en-US" w:eastAsia="zh-CN" w:bidi="ar"/>
              </w:rPr>
            </w:pPr>
            <w:r>
              <w:rPr>
                <w:rFonts w:hint="eastAsia" w:ascii="Times New Roman" w:hAnsi="Times New Roman" w:eastAsia="仿宋_GB2312" w:cs="宋体"/>
                <w:b w:val="0"/>
                <w:bCs w:val="0"/>
                <w:i w:val="0"/>
                <w:iCs w:val="0"/>
                <w:color w:val="auto"/>
                <w:kern w:val="0"/>
                <w:sz w:val="21"/>
                <w:szCs w:val="21"/>
                <w:u w:val="none"/>
                <w:lang w:val="en-US" w:eastAsia="zh-CN" w:bidi="ar"/>
              </w:rPr>
              <w:t>3647.32-10638</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kern w:val="0"/>
                <w:sz w:val="21"/>
                <w:szCs w:val="21"/>
                <w:u w:val="none"/>
                <w:lang w:val="en-US" w:eastAsia="zh-CN" w:bidi="ar"/>
              </w:rPr>
              <w:t>/</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≥0.3</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行政办公及生活服务设施用地不得超过项目用地面积的</w:t>
            </w:r>
            <w:r>
              <w:rPr>
                <w:rFonts w:hint="eastAsia" w:ascii="Times New Roman" w:hAnsi="Times New Roman" w:eastAsia="仿宋_GB2312" w:cs="宋体"/>
                <w:i w:val="0"/>
                <w:iCs w:val="0"/>
                <w:color w:val="auto"/>
                <w:sz w:val="21"/>
                <w:szCs w:val="21"/>
                <w:u w:val="none"/>
                <w:lang w:val="en-US" w:eastAsia="zh-CN"/>
              </w:rPr>
              <w:t>7</w:t>
            </w:r>
            <w:r>
              <w:rPr>
                <w:rFonts w:hint="eastAsia" w:ascii="Times New Roman" w:hAnsi="Times New Roman" w:eastAsia="仿宋_GB2312" w:cs="宋体"/>
                <w:i w:val="0"/>
                <w:iCs w:val="0"/>
                <w:color w:val="auto"/>
                <w:kern w:val="0"/>
                <w:sz w:val="21"/>
                <w:szCs w:val="21"/>
                <w:u w:val="none"/>
                <w:lang w:val="en-US" w:eastAsia="zh-CN" w:bidi="ar"/>
              </w:rPr>
              <w:t>%</w:t>
            </w:r>
            <w:r>
              <w:rPr>
                <w:rFonts w:hint="eastAsia" w:ascii="Times New Roman" w:hAnsi="Times New Roman" w:eastAsia="仿宋_GB2312" w:cs="宋体"/>
                <w:i w:val="0"/>
                <w:iCs w:val="0"/>
                <w:color w:val="auto"/>
                <w:sz w:val="21"/>
                <w:szCs w:val="21"/>
                <w:u w:val="none"/>
                <w:lang w:val="en-US" w:eastAsia="zh-CN"/>
              </w:rPr>
              <w:t>，且建筑面积不得超过项目总计容建筑面积的20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123</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61.5</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8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LM2023-9</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sz w:val="21"/>
                <w:szCs w:val="21"/>
                <w:u w:val="none"/>
                <w:lang w:val="en-US" w:eastAsia="zh-CN"/>
              </w:rPr>
              <w:t>惠州产业转移工业园平陵集聚片区</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olor w:val="auto"/>
                <w:lang w:val="en-US" w:eastAsia="zh-CN"/>
              </w:rPr>
            </w:pPr>
            <w:r>
              <w:rPr>
                <w:rFonts w:hint="eastAsia" w:ascii="Times New Roman" w:hAnsi="Times New Roman" w:eastAsia="仿宋_GB2312"/>
                <w:color w:val="auto"/>
                <w:lang w:val="en-US" w:eastAsia="zh-CN"/>
              </w:rPr>
              <w:t>PJ-02-01</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工业用地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5644.56</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5644.56</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b w:val="0"/>
                <w:bCs w:val="0"/>
                <w:i w:val="0"/>
                <w:iCs w:val="0"/>
                <w:color w:val="auto"/>
                <w:sz w:val="21"/>
                <w:szCs w:val="21"/>
                <w:u w:val="none"/>
                <w:lang w:val="en-US" w:eastAsia="zh-CN"/>
              </w:rPr>
            </w:pPr>
            <w:r>
              <w:rPr>
                <w:rFonts w:hint="eastAsia" w:ascii="Times New Roman" w:hAnsi="Times New Roman" w:eastAsia="仿宋_GB2312" w:cs="宋体"/>
                <w:b w:val="0"/>
                <w:bCs w:val="0"/>
                <w:i w:val="0"/>
                <w:iCs w:val="0"/>
                <w:color w:val="auto"/>
                <w:kern w:val="0"/>
                <w:sz w:val="21"/>
                <w:szCs w:val="21"/>
                <w:u w:val="none"/>
                <w:lang w:val="en-US" w:eastAsia="zh-CN" w:bidi="ar"/>
              </w:rPr>
              <w:t>1.2-3.5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i w:val="0"/>
                <w:iCs w:val="0"/>
                <w:color w:val="auto"/>
                <w:sz w:val="21"/>
                <w:szCs w:val="21"/>
                <w:u w:val="none"/>
                <w:lang w:val="en-US" w:eastAsia="zh-CN"/>
              </w:rPr>
            </w:pPr>
            <w:r>
              <w:rPr>
                <w:rFonts w:hint="eastAsia" w:ascii="Times New Roman" w:hAnsi="Times New Roman" w:eastAsia="仿宋_GB2312" w:cs="宋体"/>
                <w:i w:val="0"/>
                <w:iCs w:val="0"/>
                <w:color w:val="auto"/>
                <w:kern w:val="0"/>
                <w:sz w:val="21"/>
                <w:szCs w:val="21"/>
                <w:u w:val="none"/>
                <w:lang w:val="en-US" w:eastAsia="zh-CN" w:bidi="ar"/>
              </w:rPr>
              <w:t>15-20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5"/>
                <w:rFonts w:hint="default" w:ascii="Times New Roman" w:hAnsi="Times New Roman" w:eastAsia="仿宋_GB2312"/>
                <w:color w:val="auto"/>
                <w:lang w:val="en-US" w:eastAsia="zh-CN" w:bidi="ar"/>
              </w:rPr>
            </w:pPr>
            <w:r>
              <w:rPr>
                <w:rFonts w:hint="eastAsia" w:ascii="Times New Roman" w:hAnsi="Times New Roman" w:eastAsia="仿宋_GB2312" w:cs="宋体"/>
                <w:b w:val="0"/>
                <w:bCs w:val="0"/>
                <w:i w:val="0"/>
                <w:iCs w:val="0"/>
                <w:color w:val="auto"/>
                <w:kern w:val="0"/>
                <w:sz w:val="21"/>
                <w:szCs w:val="21"/>
                <w:u w:val="none"/>
                <w:lang w:val="en-US" w:eastAsia="zh-CN" w:bidi="ar"/>
              </w:rPr>
              <w:t>6773.47-19755.96</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kern w:val="0"/>
                <w:sz w:val="21"/>
                <w:szCs w:val="21"/>
                <w:u w:val="none"/>
                <w:lang w:val="en-US" w:eastAsia="zh-CN" w:bidi="ar"/>
              </w:rPr>
              <w:t>/</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≥0.3</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行政办公及生活服务设施用地不得超过项目用地面积的</w:t>
            </w:r>
            <w:r>
              <w:rPr>
                <w:rFonts w:hint="eastAsia" w:ascii="Times New Roman" w:hAnsi="Times New Roman" w:eastAsia="仿宋_GB2312" w:cs="宋体"/>
                <w:i w:val="0"/>
                <w:iCs w:val="0"/>
                <w:color w:val="auto"/>
                <w:sz w:val="21"/>
                <w:szCs w:val="21"/>
                <w:u w:val="none"/>
                <w:lang w:val="en-US" w:eastAsia="zh-CN"/>
              </w:rPr>
              <w:t>7</w:t>
            </w:r>
            <w:r>
              <w:rPr>
                <w:rFonts w:hint="eastAsia" w:ascii="Times New Roman" w:hAnsi="Times New Roman" w:eastAsia="仿宋_GB2312" w:cs="宋体"/>
                <w:i w:val="0"/>
                <w:iCs w:val="0"/>
                <w:color w:val="auto"/>
                <w:kern w:val="0"/>
                <w:sz w:val="21"/>
                <w:szCs w:val="21"/>
                <w:u w:val="none"/>
                <w:lang w:val="en-US" w:eastAsia="zh-CN" w:bidi="ar"/>
              </w:rPr>
              <w:t>%</w:t>
            </w:r>
            <w:r>
              <w:rPr>
                <w:rFonts w:hint="eastAsia" w:ascii="Times New Roman" w:hAnsi="Times New Roman" w:eastAsia="仿宋_GB2312" w:cs="宋体"/>
                <w:i w:val="0"/>
                <w:iCs w:val="0"/>
                <w:color w:val="auto"/>
                <w:sz w:val="21"/>
                <w:szCs w:val="21"/>
                <w:u w:val="none"/>
                <w:lang w:val="en-US" w:eastAsia="zh-CN"/>
              </w:rPr>
              <w:t>，且建筑面积不得超过项目总计容建筑面积的20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highlight w:val="none"/>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228</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114</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7</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Times New Roman" w:hAnsi="Times New Roman" w:eastAsia="仿宋_GB2312"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VjMTRiNzM1Yjc5ZTk3ZjI5M2E3NzRjYzk5YTI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0F63C38"/>
    <w:rsid w:val="012F32FC"/>
    <w:rsid w:val="01E50B50"/>
    <w:rsid w:val="039F6E44"/>
    <w:rsid w:val="03C27117"/>
    <w:rsid w:val="049F7D86"/>
    <w:rsid w:val="04AA17FE"/>
    <w:rsid w:val="067362EB"/>
    <w:rsid w:val="08EE04EE"/>
    <w:rsid w:val="09402008"/>
    <w:rsid w:val="0A0520C0"/>
    <w:rsid w:val="0AE876EE"/>
    <w:rsid w:val="0B1A7CC0"/>
    <w:rsid w:val="0DD737A7"/>
    <w:rsid w:val="0E1D2DC4"/>
    <w:rsid w:val="0E2043A5"/>
    <w:rsid w:val="0E2071F3"/>
    <w:rsid w:val="0E2C2AB5"/>
    <w:rsid w:val="101713C8"/>
    <w:rsid w:val="102713DB"/>
    <w:rsid w:val="10675AC2"/>
    <w:rsid w:val="10F56E66"/>
    <w:rsid w:val="110903F6"/>
    <w:rsid w:val="11871C18"/>
    <w:rsid w:val="12D666E0"/>
    <w:rsid w:val="13055F11"/>
    <w:rsid w:val="13DC2CB8"/>
    <w:rsid w:val="143D057B"/>
    <w:rsid w:val="14FF4827"/>
    <w:rsid w:val="1635589D"/>
    <w:rsid w:val="163663DF"/>
    <w:rsid w:val="166F2BF1"/>
    <w:rsid w:val="1794192C"/>
    <w:rsid w:val="17EA1735"/>
    <w:rsid w:val="187E669C"/>
    <w:rsid w:val="188B2794"/>
    <w:rsid w:val="19C257C0"/>
    <w:rsid w:val="1A31098E"/>
    <w:rsid w:val="1B261919"/>
    <w:rsid w:val="1B2A00D1"/>
    <w:rsid w:val="1B3B78EC"/>
    <w:rsid w:val="1BE73F47"/>
    <w:rsid w:val="1C9A1178"/>
    <w:rsid w:val="1D097D20"/>
    <w:rsid w:val="1E904230"/>
    <w:rsid w:val="1F105F15"/>
    <w:rsid w:val="1FB504FE"/>
    <w:rsid w:val="1FFA383F"/>
    <w:rsid w:val="20895C0A"/>
    <w:rsid w:val="222A162B"/>
    <w:rsid w:val="224E20DB"/>
    <w:rsid w:val="22937891"/>
    <w:rsid w:val="24610AB5"/>
    <w:rsid w:val="250733D2"/>
    <w:rsid w:val="279A39F8"/>
    <w:rsid w:val="27BC0E8D"/>
    <w:rsid w:val="284735C4"/>
    <w:rsid w:val="285B64DE"/>
    <w:rsid w:val="29695C42"/>
    <w:rsid w:val="29C55868"/>
    <w:rsid w:val="29E1316E"/>
    <w:rsid w:val="29F80FE7"/>
    <w:rsid w:val="2A473C52"/>
    <w:rsid w:val="2B773392"/>
    <w:rsid w:val="2BC52ED8"/>
    <w:rsid w:val="2BDC076F"/>
    <w:rsid w:val="2CC9567C"/>
    <w:rsid w:val="2CD27F6C"/>
    <w:rsid w:val="2D930E3D"/>
    <w:rsid w:val="2F220213"/>
    <w:rsid w:val="2F442A87"/>
    <w:rsid w:val="2F841177"/>
    <w:rsid w:val="30134210"/>
    <w:rsid w:val="31575D41"/>
    <w:rsid w:val="31D86DCF"/>
    <w:rsid w:val="34013B56"/>
    <w:rsid w:val="355D5FD5"/>
    <w:rsid w:val="364058FF"/>
    <w:rsid w:val="36B610CD"/>
    <w:rsid w:val="37723635"/>
    <w:rsid w:val="38B642D4"/>
    <w:rsid w:val="38FE4822"/>
    <w:rsid w:val="3A2953C0"/>
    <w:rsid w:val="3A5C1E5A"/>
    <w:rsid w:val="3AB81EF2"/>
    <w:rsid w:val="3AD153F6"/>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1765C55"/>
    <w:rsid w:val="420A51B3"/>
    <w:rsid w:val="428E2D29"/>
    <w:rsid w:val="43D3409E"/>
    <w:rsid w:val="44A86E9A"/>
    <w:rsid w:val="45696BDB"/>
    <w:rsid w:val="465B0945"/>
    <w:rsid w:val="48526CD7"/>
    <w:rsid w:val="486B4F45"/>
    <w:rsid w:val="48AD19E8"/>
    <w:rsid w:val="49956A4F"/>
    <w:rsid w:val="49B303BC"/>
    <w:rsid w:val="4A730934"/>
    <w:rsid w:val="4C3E0A00"/>
    <w:rsid w:val="4CA65793"/>
    <w:rsid w:val="4D0F3BE0"/>
    <w:rsid w:val="4D8A139E"/>
    <w:rsid w:val="4EA93B43"/>
    <w:rsid w:val="4F42590E"/>
    <w:rsid w:val="4F7A44ED"/>
    <w:rsid w:val="4F9358A7"/>
    <w:rsid w:val="4FB870F0"/>
    <w:rsid w:val="5004570C"/>
    <w:rsid w:val="508C5CA4"/>
    <w:rsid w:val="50C44115"/>
    <w:rsid w:val="50C65541"/>
    <w:rsid w:val="50C67C69"/>
    <w:rsid w:val="52146C75"/>
    <w:rsid w:val="523F6E00"/>
    <w:rsid w:val="52EC3EDC"/>
    <w:rsid w:val="5316652D"/>
    <w:rsid w:val="53BD4A78"/>
    <w:rsid w:val="54A67235"/>
    <w:rsid w:val="55C0458D"/>
    <w:rsid w:val="58D008AE"/>
    <w:rsid w:val="59B92E76"/>
    <w:rsid w:val="5B6D2AC1"/>
    <w:rsid w:val="5B745643"/>
    <w:rsid w:val="5C71213D"/>
    <w:rsid w:val="5C8578BA"/>
    <w:rsid w:val="5CD9542F"/>
    <w:rsid w:val="5EB43F13"/>
    <w:rsid w:val="5EFD59EE"/>
    <w:rsid w:val="5F28567D"/>
    <w:rsid w:val="5F300F59"/>
    <w:rsid w:val="5FCF5D35"/>
    <w:rsid w:val="5FE14082"/>
    <w:rsid w:val="602264F2"/>
    <w:rsid w:val="60BC1E76"/>
    <w:rsid w:val="616B0C9C"/>
    <w:rsid w:val="62844F25"/>
    <w:rsid w:val="62D13935"/>
    <w:rsid w:val="635A435F"/>
    <w:rsid w:val="6621372E"/>
    <w:rsid w:val="668D51F5"/>
    <w:rsid w:val="669A30AB"/>
    <w:rsid w:val="67C25F42"/>
    <w:rsid w:val="67ED7FD7"/>
    <w:rsid w:val="6838006B"/>
    <w:rsid w:val="683F3018"/>
    <w:rsid w:val="684568B6"/>
    <w:rsid w:val="688F22C8"/>
    <w:rsid w:val="68BD0B09"/>
    <w:rsid w:val="68CD7763"/>
    <w:rsid w:val="69961435"/>
    <w:rsid w:val="6A4F4329"/>
    <w:rsid w:val="6AF12B3E"/>
    <w:rsid w:val="6C2962AE"/>
    <w:rsid w:val="6C826573"/>
    <w:rsid w:val="6C8919B8"/>
    <w:rsid w:val="6CC65636"/>
    <w:rsid w:val="6CE76051"/>
    <w:rsid w:val="6D396ED7"/>
    <w:rsid w:val="6E914841"/>
    <w:rsid w:val="6EB1052D"/>
    <w:rsid w:val="6F863CF9"/>
    <w:rsid w:val="71576811"/>
    <w:rsid w:val="71B67D83"/>
    <w:rsid w:val="71CF0BED"/>
    <w:rsid w:val="71D66846"/>
    <w:rsid w:val="723C3332"/>
    <w:rsid w:val="726873F0"/>
    <w:rsid w:val="729D59B3"/>
    <w:rsid w:val="731759FD"/>
    <w:rsid w:val="734164C7"/>
    <w:rsid w:val="746E7275"/>
    <w:rsid w:val="751A7E63"/>
    <w:rsid w:val="769D02A6"/>
    <w:rsid w:val="769E7B7B"/>
    <w:rsid w:val="76AC6A44"/>
    <w:rsid w:val="77852CA3"/>
    <w:rsid w:val="778B6418"/>
    <w:rsid w:val="779A0D22"/>
    <w:rsid w:val="78CC2B01"/>
    <w:rsid w:val="79D044EF"/>
    <w:rsid w:val="7A436452"/>
    <w:rsid w:val="7A6A3136"/>
    <w:rsid w:val="7AFD1570"/>
    <w:rsid w:val="7B6E62FB"/>
    <w:rsid w:val="7BB44569"/>
    <w:rsid w:val="7CFD5584"/>
    <w:rsid w:val="7D810E5F"/>
    <w:rsid w:val="7D84768B"/>
    <w:rsid w:val="7DA912DF"/>
    <w:rsid w:val="7E2D0B3F"/>
    <w:rsid w:val="7E341C7F"/>
    <w:rsid w:val="7E89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4476</Words>
  <Characters>5084</Characters>
  <Lines>27</Lines>
  <Paragraphs>7</Paragraphs>
  <TotalTime>49</TotalTime>
  <ScaleCrop>false</ScaleCrop>
  <LinksUpToDate>false</LinksUpToDate>
  <CharactersWithSpaces>5139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佐宇</cp:lastModifiedBy>
  <cp:lastPrinted>2023-06-28T08:26:00Z</cp:lastPrinted>
  <dcterms:modified xsi:type="dcterms:W3CDTF">2023-06-29T09:56:42Z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B5BD99FD65774E7EA7BCB551143049BF_13</vt:lpwstr>
  </property>
</Properties>
</file>