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color w:val="auto"/>
          <w:sz w:val="44"/>
          <w:szCs w:val="44"/>
          <w:lang w:eastAsia="zh-CN"/>
        </w:rPr>
        <w:t>惠州市</w:t>
      </w:r>
      <w:r>
        <w:rPr>
          <w:rFonts w:hint="eastAsia" w:ascii="方正小标宋简体" w:hAnsi="方正小标宋简体" w:eastAsia="方正小标宋简体" w:cs="方正小标宋简体"/>
          <w:color w:val="auto"/>
          <w:sz w:val="44"/>
          <w:szCs w:val="44"/>
          <w:lang w:val="en-US" w:eastAsia="zh-CN"/>
        </w:rPr>
        <w:t>探</w:t>
      </w:r>
      <w:r>
        <w:rPr>
          <w:rFonts w:hint="eastAsia" w:ascii="方正小标宋简体" w:hAnsi="方正小标宋简体" w:eastAsia="方正小标宋简体" w:cs="方正小标宋简体"/>
          <w:color w:val="auto"/>
          <w:sz w:val="44"/>
          <w:szCs w:val="44"/>
          <w:lang w:eastAsia="zh-CN"/>
        </w:rPr>
        <w:t>矿</w:t>
      </w:r>
      <w:r>
        <w:rPr>
          <w:rFonts w:hint="eastAsia" w:ascii="方正小标宋简体" w:hAnsi="方正小标宋简体" w:eastAsia="方正小标宋简体" w:cs="方正小标宋简体"/>
          <w:color w:val="auto"/>
          <w:sz w:val="44"/>
          <w:szCs w:val="44"/>
        </w:rPr>
        <w:t>权</w:t>
      </w:r>
      <w:r>
        <w:rPr>
          <w:rFonts w:hint="eastAsia" w:ascii="方正小标宋简体" w:hAnsi="方正小标宋简体" w:eastAsia="方正小标宋简体" w:cs="方正小标宋简体"/>
          <w:color w:val="auto"/>
          <w:sz w:val="44"/>
          <w:szCs w:val="44"/>
          <w:lang w:eastAsia="zh-CN"/>
        </w:rPr>
        <w:t>网上挂牌出让竞买须知</w:t>
      </w:r>
    </w:p>
    <w:p>
      <w:pPr>
        <w:numPr>
          <w:ilvl w:val="0"/>
          <w:numId w:val="0"/>
        </w:numPr>
        <w:ind w:firstLine="1606" w:firstLineChars="500"/>
        <w:rPr>
          <w:rFonts w:hint="eastAsia"/>
          <w:lang w:eastAsia="zh-CN"/>
        </w:rPr>
      </w:pPr>
      <w:r>
        <w:rPr>
          <w:rFonts w:hint="eastAsia" w:ascii="仿宋" w:hAnsi="仿宋" w:eastAsia="仿宋" w:cs="仿宋"/>
          <w:b/>
          <w:color w:val="auto"/>
          <w:sz w:val="32"/>
          <w:szCs w:val="32"/>
          <w:highlight w:val="none"/>
          <w:u w:val="none"/>
          <w:shd w:val="clear" w:color="auto" w:fill="FFFFFF"/>
        </w:rPr>
        <w:t>惠</w:t>
      </w:r>
      <w:r>
        <w:rPr>
          <w:rFonts w:hint="eastAsia" w:ascii="仿宋" w:hAnsi="仿宋" w:eastAsia="仿宋" w:cs="仿宋"/>
          <w:b/>
          <w:color w:val="auto"/>
          <w:sz w:val="32"/>
          <w:szCs w:val="32"/>
          <w:highlight w:val="none"/>
          <w:u w:val="none"/>
          <w:shd w:val="clear" w:color="auto" w:fill="FFFFFF"/>
          <w:lang w:val="en-US" w:eastAsia="zh-CN"/>
        </w:rPr>
        <w:t>市</w:t>
      </w:r>
      <w:r>
        <w:rPr>
          <w:rFonts w:hint="eastAsia" w:ascii="仿宋" w:hAnsi="仿宋" w:eastAsia="仿宋" w:cs="仿宋"/>
          <w:b/>
          <w:color w:val="auto"/>
          <w:sz w:val="32"/>
          <w:szCs w:val="32"/>
          <w:highlight w:val="none"/>
          <w:u w:val="none"/>
          <w:shd w:val="clear" w:color="auto" w:fill="FFFFFF"/>
        </w:rPr>
        <w:t>资源矿挂（</w:t>
      </w:r>
      <w:r>
        <w:rPr>
          <w:rFonts w:hint="eastAsia" w:ascii="仿宋" w:hAnsi="仿宋" w:eastAsia="仿宋" w:cs="仿宋"/>
          <w:b/>
          <w:color w:val="auto"/>
          <w:sz w:val="32"/>
          <w:szCs w:val="32"/>
          <w:highlight w:val="none"/>
          <w:u w:val="none"/>
          <w:shd w:val="clear" w:color="auto" w:fill="FFFFFF"/>
          <w:lang w:val="en-US" w:eastAsia="zh-CN"/>
        </w:rPr>
        <w:t>知</w:t>
      </w:r>
      <w:r>
        <w:rPr>
          <w:rFonts w:hint="eastAsia" w:ascii="仿宋" w:hAnsi="仿宋" w:eastAsia="仿宋" w:cs="仿宋"/>
          <w:b/>
          <w:color w:val="auto"/>
          <w:sz w:val="32"/>
          <w:szCs w:val="32"/>
          <w:highlight w:val="none"/>
          <w:u w:val="none"/>
          <w:shd w:val="clear" w:color="auto" w:fill="FFFFFF"/>
        </w:rPr>
        <w:t>）字〔202</w:t>
      </w:r>
      <w:r>
        <w:rPr>
          <w:rFonts w:hint="eastAsia" w:ascii="仿宋" w:hAnsi="仿宋" w:eastAsia="仿宋" w:cs="仿宋"/>
          <w:b/>
          <w:color w:val="auto"/>
          <w:sz w:val="32"/>
          <w:szCs w:val="32"/>
          <w:highlight w:val="none"/>
          <w:u w:val="none"/>
          <w:shd w:val="clear" w:color="auto" w:fill="FFFFFF"/>
          <w:lang w:val="en-US" w:eastAsia="zh-CN"/>
        </w:rPr>
        <w:t>5</w:t>
      </w:r>
      <w:r>
        <w:rPr>
          <w:rFonts w:hint="eastAsia" w:ascii="仿宋" w:hAnsi="仿宋" w:eastAsia="仿宋" w:cs="仿宋"/>
          <w:b/>
          <w:color w:val="auto"/>
          <w:sz w:val="32"/>
          <w:szCs w:val="32"/>
          <w:highlight w:val="none"/>
          <w:u w:val="none"/>
          <w:shd w:val="clear" w:color="auto" w:fill="FFFFFF"/>
        </w:rPr>
        <w:t>〕</w:t>
      </w:r>
      <w:r>
        <w:rPr>
          <w:rFonts w:hint="eastAsia" w:ascii="仿宋" w:hAnsi="仿宋" w:eastAsia="仿宋" w:cs="仿宋"/>
          <w:b/>
          <w:color w:val="auto"/>
          <w:sz w:val="32"/>
          <w:szCs w:val="32"/>
          <w:highlight w:val="none"/>
          <w:u w:val="none"/>
          <w:shd w:val="clear" w:color="auto" w:fill="FFFFFF"/>
          <w:lang w:val="en-US" w:eastAsia="zh-CN"/>
        </w:rPr>
        <w:t>001</w:t>
      </w:r>
      <w:r>
        <w:rPr>
          <w:rFonts w:hint="eastAsia" w:ascii="仿宋" w:hAnsi="仿宋" w:eastAsia="仿宋" w:cs="仿宋"/>
          <w:b/>
          <w:color w:val="auto"/>
          <w:sz w:val="32"/>
          <w:szCs w:val="32"/>
          <w:highlight w:val="none"/>
          <w:u w:val="none"/>
          <w:shd w:val="clear" w:color="auto" w:fill="FFFFFF"/>
        </w:rPr>
        <w:t>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一、惠州市</w:t>
      </w:r>
      <w:r>
        <w:rPr>
          <w:rFonts w:hint="default" w:ascii="Times New Roman" w:hAnsi="Times New Roman" w:eastAsia="仿宋_GB2312" w:cs="Times New Roman"/>
          <w:color w:val="auto"/>
          <w:sz w:val="32"/>
          <w:szCs w:val="32"/>
          <w:lang w:val="en-US" w:eastAsia="zh-CN"/>
        </w:rPr>
        <w:t>探</w:t>
      </w:r>
      <w:r>
        <w:rPr>
          <w:rFonts w:hint="default" w:ascii="Times New Roman" w:hAnsi="Times New Roman" w:eastAsia="仿宋_GB2312" w:cs="Times New Roman"/>
          <w:color w:val="auto"/>
          <w:sz w:val="32"/>
          <w:szCs w:val="32"/>
          <w:lang w:eastAsia="zh-CN"/>
        </w:rPr>
        <w:t>矿权</w:t>
      </w:r>
      <w:r>
        <w:rPr>
          <w:rFonts w:hint="default" w:ascii="Times New Roman" w:hAnsi="Times New Roman" w:eastAsia="仿宋_GB2312" w:cs="Times New Roman"/>
          <w:color w:val="auto"/>
          <w:sz w:val="32"/>
          <w:szCs w:val="32"/>
        </w:rPr>
        <w:t>网上挂牌出让，是指在惠州市公共资源交易平台发布挂牌出让公告和须知，竞买人通过惠州市公共资源交易中心土地与矿业挂牌电子交易系统（以下简称“电子交易系统”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参与电子挂牌交易的行为。本竞买须知是具备法律约束力的重要文件，竞买人须详细阅读。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二、本宗</w:t>
      </w:r>
      <w:r>
        <w:rPr>
          <w:rFonts w:hint="default" w:ascii="Times New Roman" w:hAnsi="Times New Roman" w:eastAsia="仿宋_GB2312" w:cs="Times New Roman"/>
          <w:color w:val="auto"/>
          <w:sz w:val="32"/>
          <w:szCs w:val="32"/>
          <w:lang w:val="en-US" w:eastAsia="zh-CN"/>
        </w:rPr>
        <w:t>探</w:t>
      </w:r>
      <w:r>
        <w:rPr>
          <w:rFonts w:hint="default" w:ascii="Times New Roman" w:hAnsi="Times New Roman" w:eastAsia="仿宋_GB2312" w:cs="Times New Roman"/>
          <w:color w:val="auto"/>
          <w:sz w:val="32"/>
          <w:szCs w:val="32"/>
          <w:lang w:eastAsia="zh-CN"/>
        </w:rPr>
        <w:t>矿</w:t>
      </w:r>
      <w:r>
        <w:rPr>
          <w:rFonts w:hint="default" w:ascii="Times New Roman" w:hAnsi="Times New Roman" w:eastAsia="仿宋_GB2312" w:cs="Times New Roman"/>
          <w:color w:val="auto"/>
          <w:sz w:val="32"/>
          <w:szCs w:val="32"/>
        </w:rPr>
        <w:t>权网上挂牌出让遵循公开、公平、公正和诚实信用原则。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color w:val="auto"/>
          <w:sz w:val="32"/>
          <w:szCs w:val="32"/>
          <w:lang w:eastAsia="zh-CN"/>
        </w:rPr>
        <w:t>竞买人为在中华人民共和国境内注册登记的营利法人或者非营利法人中的事业单位法人，并符合《矿产资源勘查区块登记管理办法》规定的探矿权申请人条件；外商投资勘查的，还应符合《外商投资准入特别管理措施（负面清单）》（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年）的有关要求。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竞买人未被列入</w:t>
      </w:r>
      <w:bookmarkStart w:id="0" w:name="OLE_LINK34"/>
      <w:r>
        <w:rPr>
          <w:rFonts w:hint="default" w:ascii="Times New Roman" w:hAnsi="Times New Roman" w:eastAsia="仿宋_GB2312" w:cs="Times New Roman"/>
          <w:color w:val="auto"/>
          <w:sz w:val="32"/>
          <w:szCs w:val="32"/>
          <w:lang w:eastAsia="zh-CN"/>
        </w:rPr>
        <w:t>“信用中国”</w:t>
      </w:r>
      <w:bookmarkEnd w:id="0"/>
      <w:r>
        <w:rPr>
          <w:rFonts w:hint="default" w:ascii="Times New Roman" w:hAnsi="Times New Roman" w:eastAsia="仿宋_GB2312" w:cs="Times New Roman"/>
          <w:color w:val="auto"/>
          <w:sz w:val="32"/>
          <w:szCs w:val="32"/>
          <w:lang w:eastAsia="zh-CN"/>
        </w:rPr>
        <w:t>失信联合惩戒对象或失信黑名单。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截至本公告发布之日止</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年内，竞买人未因违法勘查开采行为或在矿业权交易活动中受到行政处罚、刑事处罚。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挂牌出让公告对竞买资格有特别要求的，以挂牌出让公告为准。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四、申请人对网上挂牌出让文件有疑问的，可在网上挂牌活动开始前以书面或者口头方式向</w:t>
      </w:r>
      <w:r>
        <w:rPr>
          <w:rFonts w:hint="default" w:ascii="Times New Roman" w:hAnsi="Times New Roman" w:eastAsia="仿宋_GB2312" w:cs="Times New Roman"/>
          <w:color w:val="auto"/>
          <w:sz w:val="32"/>
          <w:szCs w:val="32"/>
          <w:lang w:val="en-US" w:eastAsia="zh-CN"/>
        </w:rPr>
        <w:t>惠州市自然资源局（以下简称“市自然资源局”）</w:t>
      </w:r>
      <w:r>
        <w:rPr>
          <w:rFonts w:hint="default" w:ascii="Times New Roman" w:hAnsi="Times New Roman" w:eastAsia="仿宋_GB2312" w:cs="Times New Roman"/>
          <w:color w:val="auto"/>
          <w:sz w:val="32"/>
          <w:szCs w:val="32"/>
        </w:rPr>
        <w:t>咨询。有意竞买者可自行踏勘现场（可在电子交易系统查阅位置图和现状图）。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五、网上挂牌交易程序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（一）发布网上挂牌信息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有关</w:t>
      </w:r>
      <w:r>
        <w:rPr>
          <w:rFonts w:hint="default" w:ascii="Times New Roman" w:hAnsi="Times New Roman" w:eastAsia="仿宋_GB2312" w:cs="Times New Roman"/>
          <w:color w:val="auto"/>
          <w:sz w:val="32"/>
          <w:szCs w:val="32"/>
          <w:lang w:val="en-US" w:eastAsia="zh-CN"/>
        </w:rPr>
        <w:t>探矿</w:t>
      </w:r>
      <w:r>
        <w:rPr>
          <w:rFonts w:hint="default" w:ascii="Times New Roman" w:hAnsi="Times New Roman" w:eastAsia="仿宋_GB2312" w:cs="Times New Roman"/>
          <w:color w:val="auto"/>
          <w:sz w:val="32"/>
          <w:szCs w:val="32"/>
          <w:lang w:eastAsia="zh-CN"/>
        </w:rPr>
        <w:t>权</w:t>
      </w:r>
      <w:r>
        <w:rPr>
          <w:rFonts w:hint="default" w:ascii="Times New Roman" w:hAnsi="Times New Roman" w:eastAsia="仿宋_GB2312" w:cs="Times New Roman"/>
          <w:color w:val="auto"/>
          <w:sz w:val="32"/>
          <w:szCs w:val="32"/>
        </w:rPr>
        <w:t>的电子挂牌交易公告等相关信息通过</w:t>
      </w:r>
      <w:r>
        <w:rPr>
          <w:rFonts w:hint="default" w:ascii="Times New Roman" w:hAnsi="Times New Roman" w:eastAsia="仿宋_GB2312" w:cs="Times New Roman"/>
          <w:color w:val="auto"/>
          <w:sz w:val="32"/>
          <w:szCs w:val="32"/>
          <w:highlight w:val="none"/>
        </w:rPr>
        <w:t>自然资源部门户网站</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z w:val="32"/>
          <w:szCs w:val="32"/>
        </w:rPr>
        <w:t>广东省公共资源交易平台</w:t>
      </w:r>
      <w:r>
        <w:rPr>
          <w:rFonts w:hint="default" w:ascii="Times New Roman" w:hAnsi="Times New Roman" w:eastAsia="仿宋_GB2312" w:cs="Times New Roman"/>
          <w:sz w:val="32"/>
          <w:szCs w:val="32"/>
          <w:lang w:eastAsia="zh-CN"/>
        </w:rPr>
        <w:t>、惠州市公共资源交易中心土地与矿业挂牌电子交易系统</w:t>
      </w:r>
      <w:r>
        <w:rPr>
          <w:rFonts w:hint="default" w:ascii="Times New Roman" w:hAnsi="Times New Roman" w:eastAsia="仿宋_GB2312" w:cs="Times New Roman"/>
          <w:color w:val="auto"/>
          <w:sz w:val="32"/>
          <w:szCs w:val="32"/>
        </w:rPr>
        <w:t>、交易大厅的电子显示屏等媒介同步发布。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有意竞买者可登录</w:t>
      </w:r>
      <w:r>
        <w:rPr>
          <w:rFonts w:hint="default" w:ascii="Times New Roman" w:hAnsi="Times New Roman" w:eastAsia="仿宋_GB2312" w:cs="Times New Roman"/>
          <w:color w:val="auto"/>
          <w:sz w:val="32"/>
          <w:szCs w:val="32"/>
          <w:lang w:val="en-US" w:eastAsia="zh-CN"/>
        </w:rPr>
        <w:t>电子</w:t>
      </w:r>
      <w:r>
        <w:rPr>
          <w:rFonts w:hint="default" w:ascii="Times New Roman" w:hAnsi="Times New Roman" w:eastAsia="仿宋_GB2312" w:cs="Times New Roman"/>
          <w:color w:val="auto"/>
          <w:sz w:val="32"/>
          <w:szCs w:val="32"/>
        </w:rPr>
        <w:t>交易系统网站(https://tdky.hzggzyjy.cn/)查询。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（二）挂牌文件获取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申请人可在电子交易系统浏览和下载本宗</w:t>
      </w:r>
      <w:r>
        <w:rPr>
          <w:rFonts w:hint="default" w:ascii="Times New Roman" w:hAnsi="Times New Roman" w:eastAsia="仿宋_GB2312" w:cs="Times New Roman"/>
          <w:color w:val="auto"/>
          <w:sz w:val="32"/>
          <w:szCs w:val="32"/>
          <w:lang w:val="en-US" w:eastAsia="zh-CN"/>
        </w:rPr>
        <w:t>探矿权</w:t>
      </w:r>
      <w:r>
        <w:rPr>
          <w:rFonts w:hint="default" w:ascii="Times New Roman" w:hAnsi="Times New Roman" w:eastAsia="仿宋_GB2312" w:cs="Times New Roman"/>
          <w:color w:val="auto"/>
          <w:sz w:val="32"/>
          <w:szCs w:val="32"/>
        </w:rPr>
        <w:t>网上挂牌出让文件，具体包括：</w:t>
      </w:r>
    </w:p>
    <w:p>
      <w:pPr>
        <w:keepNext w:val="0"/>
        <w:keepLines w:val="0"/>
        <w:pageBreakBefore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惠州市</w:t>
      </w:r>
      <w:r>
        <w:rPr>
          <w:rFonts w:hint="default" w:ascii="Times New Roman" w:hAnsi="Times New Roman" w:eastAsia="仿宋_GB2312" w:cs="Times New Roman"/>
          <w:color w:val="auto"/>
          <w:sz w:val="32"/>
          <w:szCs w:val="32"/>
        </w:rPr>
        <w:t>惠阳区秋长街道燕子山地热资源可行性勘查探矿权网上挂牌出让公告（以下简称“出让公告”）；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2、惠州市探矿权网上挂牌出让竞买须知（以下简称“竞买须知”）；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3、挂牌出让</w:t>
      </w:r>
      <w:r>
        <w:rPr>
          <w:rFonts w:hint="default" w:ascii="Times New Roman" w:hAnsi="Times New Roman" w:eastAsia="仿宋_GB2312" w:cs="Times New Roman"/>
          <w:color w:val="auto"/>
          <w:sz w:val="32"/>
          <w:szCs w:val="32"/>
          <w:lang w:val="en-US" w:eastAsia="zh-CN"/>
        </w:rPr>
        <w:t>矿区红线图及</w:t>
      </w:r>
      <w:r>
        <w:rPr>
          <w:rFonts w:hint="default" w:ascii="Times New Roman" w:hAnsi="Times New Roman" w:eastAsia="仿宋_GB2312" w:cs="Times New Roman"/>
          <w:color w:val="auto"/>
          <w:sz w:val="32"/>
          <w:szCs w:val="32"/>
        </w:rPr>
        <w:t>现状图；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val="en-US" w:eastAsia="zh-CN"/>
        </w:rPr>
        <w:t>区域位置</w:t>
      </w:r>
      <w:r>
        <w:rPr>
          <w:rFonts w:hint="default" w:ascii="Times New Roman" w:hAnsi="Times New Roman" w:eastAsia="仿宋_GB2312" w:cs="Times New Roman"/>
          <w:color w:val="auto"/>
          <w:sz w:val="32"/>
          <w:szCs w:val="32"/>
          <w:lang w:eastAsia="zh-CN"/>
        </w:rPr>
        <w:t>图</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val="en-US" w:eastAsia="zh-CN"/>
        </w:rPr>
        <w:t>探</w:t>
      </w:r>
      <w:r>
        <w:rPr>
          <w:rFonts w:hint="default" w:ascii="Times New Roman" w:hAnsi="Times New Roman" w:eastAsia="仿宋_GB2312" w:cs="Times New Roman"/>
          <w:color w:val="auto"/>
          <w:sz w:val="32"/>
          <w:szCs w:val="32"/>
          <w:lang w:eastAsia="zh-CN"/>
        </w:rPr>
        <w:t>矿</w:t>
      </w:r>
      <w:r>
        <w:rPr>
          <w:rFonts w:hint="default" w:ascii="Times New Roman" w:hAnsi="Times New Roman" w:eastAsia="仿宋_GB2312" w:cs="Times New Roman"/>
          <w:color w:val="auto"/>
          <w:sz w:val="32"/>
          <w:szCs w:val="32"/>
        </w:rPr>
        <w:t>权出让合同》（以下简称“出让合同”）</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样本）</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、其他相关文件。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（三）办理数字证书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1、本</w:t>
      </w:r>
      <w:r>
        <w:rPr>
          <w:rFonts w:hint="default" w:ascii="Times New Roman" w:hAnsi="Times New Roman" w:eastAsia="仿宋_GB2312" w:cs="Times New Roman"/>
          <w:color w:val="auto"/>
          <w:sz w:val="32"/>
          <w:szCs w:val="32"/>
          <w:lang w:val="en-US" w:eastAsia="zh-CN"/>
        </w:rPr>
        <w:t>宗探</w:t>
      </w:r>
      <w:r>
        <w:rPr>
          <w:rFonts w:hint="default" w:ascii="Times New Roman" w:hAnsi="Times New Roman" w:eastAsia="仿宋_GB2312" w:cs="Times New Roman"/>
          <w:color w:val="auto"/>
          <w:sz w:val="32"/>
          <w:szCs w:val="32"/>
          <w:lang w:eastAsia="zh-CN"/>
        </w:rPr>
        <w:t>矿</w:t>
      </w:r>
      <w:r>
        <w:rPr>
          <w:rFonts w:hint="default" w:ascii="Times New Roman" w:hAnsi="Times New Roman" w:eastAsia="仿宋_GB2312" w:cs="Times New Roman"/>
          <w:color w:val="auto"/>
          <w:sz w:val="32"/>
          <w:szCs w:val="32"/>
        </w:rPr>
        <w:t>权网上挂牌出让只能在互联网上，通过</w:t>
      </w:r>
      <w:r>
        <w:rPr>
          <w:rFonts w:hint="default" w:ascii="Times New Roman" w:hAnsi="Times New Roman" w:eastAsia="仿宋_GB2312" w:cs="Times New Roman"/>
          <w:color w:val="auto"/>
          <w:sz w:val="32"/>
          <w:szCs w:val="32"/>
          <w:lang w:val="en-US" w:eastAsia="zh-CN"/>
        </w:rPr>
        <w:t>电子</w:t>
      </w:r>
      <w:r>
        <w:rPr>
          <w:rFonts w:hint="default" w:ascii="Times New Roman" w:hAnsi="Times New Roman" w:eastAsia="仿宋_GB2312" w:cs="Times New Roman"/>
          <w:color w:val="auto"/>
          <w:sz w:val="32"/>
          <w:szCs w:val="32"/>
        </w:rPr>
        <w:t xml:space="preserve">交易系统进行。只有通过网上注册、办理数字证书、按要求足额交付竞买保证金的申请人，才能参加网上挂牌交易活动。 </w:t>
      </w:r>
    </w:p>
    <w:p>
      <w:pPr>
        <w:pStyle w:val="4"/>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2、办理数字证书是参加本宗</w:t>
      </w:r>
      <w:r>
        <w:rPr>
          <w:rFonts w:hint="default" w:ascii="Times New Roman" w:hAnsi="Times New Roman" w:eastAsia="仿宋_GB2312" w:cs="Times New Roman"/>
          <w:color w:val="auto"/>
          <w:sz w:val="32"/>
          <w:szCs w:val="32"/>
          <w:lang w:val="en-US" w:eastAsia="zh-CN"/>
        </w:rPr>
        <w:t>探矿权</w:t>
      </w:r>
      <w:r>
        <w:rPr>
          <w:rFonts w:hint="default" w:ascii="Times New Roman" w:hAnsi="Times New Roman" w:eastAsia="仿宋_GB2312" w:cs="Times New Roman"/>
          <w:color w:val="auto"/>
          <w:sz w:val="32"/>
          <w:szCs w:val="32"/>
        </w:rPr>
        <w:t>网上挂牌出让活动的必经程序，申请人应当携带相关有效证件到广东省数字证书认证中心惠州办理点（数字证书办理地址：广东省惠州市惠城区三新北路31号市民服务中心3号楼惠州市公共资源交易中心一楼大厅1号土地与矿业交易窗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联系人：罗工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联系电话：0752-7121029）申请办理。数字证书的办理流程详见</w:t>
      </w:r>
      <w:r>
        <w:rPr>
          <w:rFonts w:hint="default" w:ascii="Times New Roman" w:hAnsi="Times New Roman" w:eastAsia="仿宋_GB2312" w:cs="Times New Roman"/>
          <w:color w:val="auto"/>
          <w:sz w:val="32"/>
          <w:szCs w:val="32"/>
          <w:lang w:val="en-US" w:eastAsia="zh-CN"/>
        </w:rPr>
        <w:t>交易系统</w:t>
      </w:r>
      <w:r>
        <w:rPr>
          <w:rFonts w:hint="default" w:ascii="Times New Roman" w:hAnsi="Times New Roman" w:eastAsia="仿宋_GB2312" w:cs="Times New Roman"/>
          <w:color w:val="auto"/>
          <w:sz w:val="32"/>
          <w:szCs w:val="32"/>
        </w:rPr>
        <w:t>上的《数字证书办理指南》。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（四）申请竞买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办理好数字证书的申请人决定参加本</w:t>
      </w:r>
      <w:r>
        <w:rPr>
          <w:rFonts w:hint="default" w:ascii="Times New Roman" w:hAnsi="Times New Roman" w:eastAsia="仿宋_GB2312" w:cs="Times New Roman"/>
          <w:color w:val="auto"/>
          <w:sz w:val="32"/>
          <w:szCs w:val="32"/>
          <w:lang w:val="en-US" w:eastAsia="zh-CN"/>
        </w:rPr>
        <w:t>宗探</w:t>
      </w:r>
      <w:r>
        <w:rPr>
          <w:rFonts w:hint="default" w:ascii="Times New Roman" w:hAnsi="Times New Roman" w:eastAsia="仿宋_GB2312" w:cs="Times New Roman"/>
          <w:color w:val="auto"/>
          <w:sz w:val="32"/>
          <w:szCs w:val="32"/>
          <w:lang w:eastAsia="zh-CN"/>
        </w:rPr>
        <w:t>矿权</w:t>
      </w:r>
      <w:r>
        <w:rPr>
          <w:rFonts w:hint="default" w:ascii="Times New Roman" w:hAnsi="Times New Roman" w:eastAsia="仿宋_GB2312" w:cs="Times New Roman"/>
          <w:color w:val="auto"/>
          <w:sz w:val="32"/>
          <w:szCs w:val="32"/>
        </w:rPr>
        <w:t>网上挂牌竞买的，应按电子交易系统要求填写真实有效的申请人身份等信息并在电子交易系统提交竞买申请。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（五）交纳竞买保证金并获得竞买报价权限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3、跨地区或跨行转账的竞买人，需预足资金的在途时间，以免影响竞买人及时取得竞买</w:t>
      </w:r>
      <w:r>
        <w:rPr>
          <w:rFonts w:hint="default" w:ascii="Times New Roman" w:hAnsi="Times New Roman" w:eastAsia="仿宋_GB2312" w:cs="Times New Roman"/>
          <w:color w:val="auto"/>
          <w:sz w:val="32"/>
          <w:szCs w:val="32"/>
          <w:lang w:eastAsia="zh-CN"/>
        </w:rPr>
        <w:t>报价权限</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4、竞买保证金到账时间以电子交易系统确认并发出《保证金到账通知书》为准。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5、竞买保证金开户单位：惠州市公共资源交易中心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竞买保证金账号：电子交易系统随机产生竞买保证金支付账号。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开户银行：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（1）中国建设银行惠州广场支行；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（2）中国银行惠州分行；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（3）中国工商银行股份有限公司惠州富力国际中心支行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（4）中国农业银行惠州分行；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（5）广发银行惠州江北支行；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（6）交通银行惠州分行；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（7）惠州市农村商业银行股份有限公司惠城支行；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（8）上海浦东发展银行股份有限公司惠州分行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（9）中国民生银行股份有限公司惠州分行；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10</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中信银行股份有限公司惠州分行。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6、申请人应根据</w:t>
      </w:r>
      <w:r>
        <w:rPr>
          <w:rFonts w:hint="default" w:ascii="Times New Roman" w:hAnsi="Times New Roman" w:eastAsia="仿宋_GB2312" w:cs="Times New Roman"/>
          <w:color w:val="auto"/>
          <w:sz w:val="32"/>
          <w:szCs w:val="32"/>
          <w:lang w:val="en-US" w:eastAsia="zh-CN"/>
        </w:rPr>
        <w:t>电子</w:t>
      </w:r>
      <w:r>
        <w:rPr>
          <w:rFonts w:hint="default" w:ascii="Times New Roman" w:hAnsi="Times New Roman" w:eastAsia="仿宋_GB2312" w:cs="Times New Roman"/>
          <w:color w:val="auto"/>
          <w:sz w:val="32"/>
          <w:szCs w:val="32"/>
        </w:rPr>
        <w:t>交易系统生成的随机保证金账号按时足额交纳竞买保证金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并在</w:t>
      </w:r>
      <w:r>
        <w:rPr>
          <w:rFonts w:hint="default" w:ascii="Times New Roman" w:hAnsi="Times New Roman" w:eastAsia="仿宋_GB2312" w:cs="Times New Roman"/>
          <w:color w:val="auto"/>
          <w:sz w:val="32"/>
          <w:szCs w:val="32"/>
          <w:lang w:val="en-US" w:eastAsia="zh-CN"/>
        </w:rPr>
        <w:t>电子</w:t>
      </w:r>
      <w:r>
        <w:rPr>
          <w:rFonts w:hint="default" w:ascii="Times New Roman" w:hAnsi="Times New Roman" w:eastAsia="仿宋_GB2312" w:cs="Times New Roman"/>
          <w:color w:val="auto"/>
          <w:sz w:val="32"/>
          <w:szCs w:val="32"/>
        </w:rPr>
        <w:t>交易系统确认竞买保证金到账之后，赋予竞买人对应</w:t>
      </w:r>
      <w:r>
        <w:rPr>
          <w:rFonts w:hint="default" w:ascii="Times New Roman" w:hAnsi="Times New Roman" w:eastAsia="仿宋_GB2312" w:cs="Times New Roman"/>
          <w:color w:val="auto"/>
          <w:sz w:val="32"/>
          <w:szCs w:val="32"/>
          <w:lang w:val="en-US" w:eastAsia="zh-CN"/>
        </w:rPr>
        <w:t>本宗探矿权</w:t>
      </w:r>
      <w:r>
        <w:rPr>
          <w:rFonts w:hint="default" w:ascii="Times New Roman" w:hAnsi="Times New Roman" w:eastAsia="仿宋_GB2312" w:cs="Times New Roman"/>
          <w:color w:val="auto"/>
          <w:sz w:val="32"/>
          <w:szCs w:val="32"/>
        </w:rPr>
        <w:t xml:space="preserve">的竞买报价权限。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（六）竞买人电子报价及电子限时竞价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1、竞买人通过电子交易系统进行报价。电子报价和电子限时竞价按以下规则进行：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（1）增价方式进行报价；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（2）竞买人可多次报价；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（3）初次报价不得低于起始价；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（4）每次增价数额应是规定的增价幅度的整数倍；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（5）每次报价应当比当前最高报价至少递增1个增价幅度。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2、竞买人应当谨慎报价，报价一经提交并经电子交易系统确认为有效报价，不可撤回。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电子挂牌交易期限截止前，竞买人应当进行至少一次有效报价，方有资格参加该宗</w:t>
      </w:r>
      <w:r>
        <w:rPr>
          <w:rFonts w:hint="default" w:ascii="Times New Roman" w:hAnsi="Times New Roman" w:eastAsia="仿宋_GB2312" w:cs="Times New Roman"/>
          <w:color w:val="auto"/>
          <w:sz w:val="32"/>
          <w:szCs w:val="32"/>
          <w:lang w:val="en-US" w:eastAsia="zh-CN"/>
        </w:rPr>
        <w:t>探矿权</w:t>
      </w:r>
      <w:r>
        <w:rPr>
          <w:rFonts w:hint="default" w:ascii="Times New Roman" w:hAnsi="Times New Roman" w:eastAsia="仿宋_GB2312" w:cs="Times New Roman"/>
          <w:color w:val="auto"/>
          <w:sz w:val="32"/>
          <w:szCs w:val="32"/>
        </w:rPr>
        <w:t>的电子限时竞价。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电子限时竞价是指在交易公告规定的电子挂牌交易期限截止时，有2个以上的竞买人报价，且经电子交易系统询问，5分钟内限时决定是否愿意继续报价,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（七）确定成交候选人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电子挂牌交易按照下列规则确定成交候选人：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1、在电子挂牌交易期限内只有1个竞买人报价，且报价不低于起始价的，则该报价者为成交候选人；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2、电子挂牌交易期限内有2个以上的竞买人报价，经电子交易系统询问，无竞买人愿意参加电子限时竞价的，以当前报价最高且报价不低于起始价者为成交候选人；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3、电子挂牌交易期限内无报价的，挂牌不成交；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4、进入电子限时竞价，电子限时竞价中报价最高且报价不低于起始价者为成交候选人；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5、进入电子限时竞价，但电子限时竞价中无竞买人报价的，以电子挂牌交易截止时报价最高且报价不低于起始价者为成交候选人。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（八）成交候选人竞买资格审查</w:t>
      </w:r>
    </w:p>
    <w:p>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right="-92" w:rightChars="-44"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成交候选人</w:t>
      </w:r>
      <w:r>
        <w:rPr>
          <w:rFonts w:hint="default" w:ascii="Times New Roman" w:hAnsi="Times New Roman" w:eastAsia="仿宋_GB2312" w:cs="Times New Roman"/>
          <w:b w:val="0"/>
          <w:bCs w:val="0"/>
          <w:color w:val="auto"/>
          <w:sz w:val="32"/>
          <w:szCs w:val="32"/>
          <w:lang w:val="en-US" w:eastAsia="zh-CN"/>
        </w:rPr>
        <w:t>须按交易公告的要求</w:t>
      </w:r>
      <w:r>
        <w:rPr>
          <w:rFonts w:hint="default" w:ascii="Times New Roman" w:hAnsi="Times New Roman" w:eastAsia="仿宋_GB2312" w:cs="Times New Roman"/>
          <w:b w:val="0"/>
          <w:bCs w:val="0"/>
          <w:color w:val="auto"/>
          <w:sz w:val="32"/>
          <w:szCs w:val="32"/>
        </w:rPr>
        <w:t>将竞买申请书等材料上传至</w:t>
      </w:r>
      <w:r>
        <w:rPr>
          <w:rFonts w:hint="default" w:ascii="Times New Roman" w:hAnsi="Times New Roman" w:eastAsia="仿宋_GB2312" w:cs="Times New Roman"/>
          <w:b w:val="0"/>
          <w:bCs w:val="0"/>
          <w:color w:val="auto"/>
          <w:sz w:val="32"/>
          <w:szCs w:val="32"/>
          <w:lang w:val="en-US" w:eastAsia="zh-CN"/>
        </w:rPr>
        <w:t>电子</w:t>
      </w:r>
      <w:r>
        <w:rPr>
          <w:rFonts w:hint="default" w:ascii="Times New Roman" w:hAnsi="Times New Roman" w:eastAsia="仿宋_GB2312" w:cs="Times New Roman"/>
          <w:b w:val="0"/>
          <w:bCs w:val="0"/>
          <w:color w:val="auto"/>
          <w:sz w:val="32"/>
          <w:szCs w:val="32"/>
        </w:rPr>
        <w:t>交易系统，由</w:t>
      </w:r>
      <w:r>
        <w:rPr>
          <w:rFonts w:hint="default" w:ascii="Times New Roman" w:hAnsi="Times New Roman" w:eastAsia="仿宋_GB2312" w:cs="Times New Roman"/>
          <w:b w:val="0"/>
          <w:bCs w:val="0"/>
          <w:color w:val="auto"/>
          <w:sz w:val="32"/>
          <w:szCs w:val="32"/>
          <w:lang w:val="en-US" w:eastAsia="zh-CN"/>
        </w:rPr>
        <w:t>惠州市</w:t>
      </w:r>
      <w:r>
        <w:rPr>
          <w:rFonts w:hint="default" w:ascii="Times New Roman" w:hAnsi="Times New Roman" w:eastAsia="仿宋_GB2312" w:cs="Times New Roman"/>
          <w:b w:val="0"/>
          <w:bCs w:val="0"/>
          <w:color w:val="auto"/>
          <w:sz w:val="32"/>
          <w:szCs w:val="32"/>
          <w:lang w:eastAsia="zh-CN"/>
        </w:rPr>
        <w:t>自然资源局</w:t>
      </w:r>
      <w:r>
        <w:rPr>
          <w:rFonts w:hint="default" w:ascii="Times New Roman" w:hAnsi="Times New Roman" w:eastAsia="仿宋_GB2312" w:cs="Times New Roman"/>
          <w:b w:val="0"/>
          <w:bCs w:val="0"/>
          <w:color w:val="auto"/>
          <w:sz w:val="32"/>
          <w:szCs w:val="32"/>
          <w:lang w:val="en-US" w:eastAsia="zh-CN"/>
        </w:rPr>
        <w:t>在线上</w:t>
      </w:r>
      <w:r>
        <w:rPr>
          <w:rFonts w:hint="default" w:ascii="Times New Roman" w:hAnsi="Times New Roman" w:eastAsia="仿宋_GB2312" w:cs="Times New Roman"/>
          <w:b w:val="0"/>
          <w:bCs w:val="0"/>
          <w:color w:val="auto"/>
          <w:sz w:val="32"/>
          <w:szCs w:val="32"/>
        </w:rPr>
        <w:t>进行竞买资格审查。</w:t>
      </w:r>
      <w:r>
        <w:rPr>
          <w:rFonts w:hint="default" w:ascii="Times New Roman" w:hAnsi="Times New Roman" w:eastAsia="仿宋_GB2312" w:cs="Times New Roman"/>
          <w:b w:val="0"/>
          <w:bCs w:val="0"/>
          <w:color w:val="auto"/>
          <w:sz w:val="32"/>
          <w:szCs w:val="32"/>
          <w:lang w:val="en-US" w:eastAsia="zh-CN"/>
        </w:rPr>
        <w:t>市</w:t>
      </w:r>
      <w:r>
        <w:rPr>
          <w:rFonts w:hint="default" w:ascii="Times New Roman" w:hAnsi="Times New Roman" w:eastAsia="仿宋_GB2312" w:cs="Times New Roman"/>
          <w:b w:val="0"/>
          <w:bCs w:val="0"/>
          <w:color w:val="auto"/>
          <w:sz w:val="32"/>
          <w:szCs w:val="32"/>
          <w:lang w:eastAsia="zh-CN"/>
        </w:rPr>
        <w:t>自然资源局</w:t>
      </w:r>
      <w:r>
        <w:rPr>
          <w:rFonts w:hint="default" w:ascii="Times New Roman" w:hAnsi="Times New Roman" w:eastAsia="仿宋_GB2312" w:cs="Times New Roman"/>
          <w:b w:val="0"/>
          <w:bCs w:val="0"/>
          <w:color w:val="auto"/>
          <w:sz w:val="32"/>
          <w:szCs w:val="32"/>
        </w:rPr>
        <w:t>将确定符合竞买资格</w:t>
      </w:r>
      <w:r>
        <w:rPr>
          <w:rFonts w:hint="default" w:ascii="Times New Roman" w:hAnsi="Times New Roman" w:eastAsia="仿宋_GB2312" w:cs="Times New Roman"/>
          <w:b w:val="0"/>
          <w:bCs w:val="0"/>
          <w:color w:val="auto"/>
          <w:sz w:val="32"/>
          <w:szCs w:val="32"/>
          <w:lang w:eastAsia="zh-CN"/>
        </w:rPr>
        <w:t>的成交候选人为竞得人（成交候选人上传材料的具体操作详见</w:t>
      </w:r>
      <w:r>
        <w:rPr>
          <w:rFonts w:hint="default" w:ascii="Times New Roman" w:hAnsi="Times New Roman" w:eastAsia="仿宋_GB2312" w:cs="Times New Roman"/>
          <w:color w:val="auto"/>
          <w:sz w:val="32"/>
          <w:szCs w:val="32"/>
        </w:rPr>
        <w:t>电子交易系统</w:t>
      </w:r>
      <w:r>
        <w:rPr>
          <w:rFonts w:hint="default" w:ascii="Times New Roman" w:hAnsi="Times New Roman" w:eastAsia="仿宋_GB2312" w:cs="Times New Roman"/>
          <w:b w:val="0"/>
          <w:bCs w:val="0"/>
          <w:color w:val="auto"/>
          <w:sz w:val="32"/>
          <w:szCs w:val="32"/>
          <w:lang w:eastAsia="zh-CN"/>
        </w:rPr>
        <w:t>资料下载栏目中的</w:t>
      </w:r>
      <w:r>
        <w:rPr>
          <w:rFonts w:hint="default" w:ascii="Times New Roman" w:hAnsi="Times New Roman" w:eastAsia="仿宋_GB2312" w:cs="Times New Roman"/>
          <w:b w:val="0"/>
          <w:bCs w:val="0"/>
          <w:color w:val="auto"/>
          <w:sz w:val="32"/>
          <w:szCs w:val="32"/>
          <w:lang w:val="en-US" w:eastAsia="zh-CN"/>
        </w:rPr>
        <w:t>《惠州市公共资源交易中心土地与矿业挂牌电子交易系统全流程电子化新增建设功能操作指南》</w:t>
      </w:r>
      <w:r>
        <w:rPr>
          <w:rFonts w:hint="default" w:ascii="Times New Roman" w:hAnsi="Times New Roman" w:eastAsia="仿宋_GB2312" w:cs="Times New Roman"/>
          <w:b w:val="0"/>
          <w:bCs w:val="0"/>
          <w:color w:val="auto"/>
          <w:sz w:val="32"/>
          <w:szCs w:val="32"/>
          <w:lang w:eastAsia="zh-CN"/>
        </w:rPr>
        <w:t>）。</w:t>
      </w:r>
    </w:p>
    <w:p>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成交候选人线上</w:t>
      </w:r>
      <w:r>
        <w:rPr>
          <w:rFonts w:hint="default" w:ascii="Times New Roman" w:hAnsi="Times New Roman" w:eastAsia="仿宋_GB2312" w:cs="Times New Roman"/>
          <w:b w:val="0"/>
          <w:bCs w:val="0"/>
          <w:color w:val="auto"/>
          <w:sz w:val="32"/>
          <w:szCs w:val="32"/>
          <w:lang w:val="en-US" w:eastAsia="zh-CN"/>
        </w:rPr>
        <w:t>提交</w:t>
      </w:r>
      <w:r>
        <w:rPr>
          <w:rFonts w:hint="default" w:ascii="Times New Roman" w:hAnsi="Times New Roman" w:eastAsia="仿宋_GB2312" w:cs="Times New Roman"/>
          <w:b w:val="0"/>
          <w:bCs w:val="0"/>
          <w:color w:val="auto"/>
          <w:sz w:val="32"/>
          <w:szCs w:val="32"/>
        </w:rPr>
        <w:t>审核材料清单如下：</w:t>
      </w:r>
    </w:p>
    <w:p>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（1）《竞买申请书》（加盖公章）；</w:t>
      </w:r>
    </w:p>
    <w:p>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（2）《竞价结果通知书》（加盖公章）；</w:t>
      </w:r>
    </w:p>
    <w:p>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（3）《竞买保证金到账通知书》（加盖公章）；</w:t>
      </w:r>
    </w:p>
    <w:p>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（4）竞买保证金转账凭证复印件（加盖公章）；</w:t>
      </w:r>
    </w:p>
    <w:p>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（5）申请竞买人有效的《营业执照》复印件（加盖公章）；</w:t>
      </w:r>
    </w:p>
    <w:p>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（6）法定代表人身份证复印件（加盖公章）；</w:t>
      </w:r>
    </w:p>
    <w:p>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（7）授权他人代理的授权委托书及代理人身份证复印件（核对原件）；</w:t>
      </w:r>
    </w:p>
    <w:p>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（8）“信用中国”无不良行为记录证明。</w:t>
      </w:r>
    </w:p>
    <w:p>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B050"/>
          <w:sz w:val="32"/>
          <w:szCs w:val="32"/>
          <w:lang w:eastAsia="zh-CN"/>
        </w:rPr>
      </w:pPr>
      <w:r>
        <w:rPr>
          <w:rFonts w:hint="default" w:ascii="Times New Roman" w:hAnsi="Times New Roman" w:eastAsia="仿宋_GB2312" w:cs="Times New Roman"/>
          <w:b w:val="0"/>
          <w:bCs w:val="0"/>
          <w:color w:val="auto"/>
          <w:sz w:val="32"/>
          <w:szCs w:val="32"/>
          <w:lang w:val="en-US" w:eastAsia="zh-CN"/>
        </w:rPr>
        <w:t>成交候选人凡含外商投资的企业参与的，将由惠州市自然资源局征询军事部门意见后再进行竞买资格确认。不符合竞买资格的，取消成交候选人资格，竞价结果无效。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（九）公布交易结果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市自然资源局</w:t>
      </w:r>
      <w:r>
        <w:rPr>
          <w:rFonts w:hint="default" w:ascii="Times New Roman" w:hAnsi="Times New Roman" w:eastAsia="仿宋_GB2312" w:cs="Times New Roman"/>
          <w:color w:val="auto"/>
          <w:sz w:val="32"/>
          <w:szCs w:val="32"/>
        </w:rPr>
        <w:t>确定竞得人后，通过电子交易系统发布交易结果。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（十）签订成交确认书和交易合同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确定竞得人后，竞得人按挂牌交易公告规定的时间与</w:t>
      </w:r>
      <w:r>
        <w:rPr>
          <w:rFonts w:hint="default" w:ascii="Times New Roman" w:hAnsi="Times New Roman" w:eastAsia="仿宋_GB2312" w:cs="Times New Roman"/>
          <w:color w:val="auto"/>
          <w:sz w:val="32"/>
          <w:szCs w:val="32"/>
          <w:lang w:val="en-US" w:eastAsia="zh-CN"/>
        </w:rPr>
        <w:t>市自然资源局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市公共资源</w:t>
      </w:r>
      <w:r>
        <w:rPr>
          <w:rFonts w:hint="default" w:ascii="Times New Roman" w:hAnsi="Times New Roman" w:eastAsia="仿宋_GB2312" w:cs="Times New Roman"/>
          <w:strike w:val="0"/>
          <w:dstrike w:val="0"/>
          <w:color w:val="auto"/>
          <w:sz w:val="32"/>
          <w:szCs w:val="32"/>
          <w:lang w:eastAsia="zh-CN"/>
        </w:rPr>
        <w:t>交易</w:t>
      </w:r>
      <w:r>
        <w:rPr>
          <w:rFonts w:hint="default" w:ascii="Times New Roman" w:hAnsi="Times New Roman" w:eastAsia="仿宋_GB2312" w:cs="Times New Roman"/>
          <w:color w:val="auto"/>
          <w:sz w:val="32"/>
          <w:szCs w:val="32"/>
        </w:rPr>
        <w:t>中心签订成交确认书，竞得人根据成交确认书约定的时间与</w:t>
      </w:r>
      <w:r>
        <w:rPr>
          <w:rFonts w:hint="default" w:ascii="Times New Roman" w:hAnsi="Times New Roman" w:eastAsia="仿宋_GB2312" w:cs="Times New Roman"/>
          <w:color w:val="auto"/>
          <w:sz w:val="32"/>
          <w:szCs w:val="32"/>
          <w:lang w:val="en-US" w:eastAsia="zh-CN"/>
        </w:rPr>
        <w:t>市自然资源局</w:t>
      </w:r>
      <w:r>
        <w:rPr>
          <w:rFonts w:hint="default" w:ascii="Times New Roman" w:hAnsi="Times New Roman" w:eastAsia="仿宋_GB2312" w:cs="Times New Roman"/>
          <w:color w:val="auto"/>
          <w:sz w:val="32"/>
          <w:szCs w:val="32"/>
        </w:rPr>
        <w:t>签订交易合同。</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六、系统操作</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color w:val="auto"/>
          <w:kern w:val="2"/>
          <w:sz w:val="32"/>
          <w:szCs w:val="32"/>
          <w:lang w:val="en-US" w:eastAsia="zh-CN" w:bidi="ar-SA"/>
        </w:rPr>
        <w:t>电子交易系统竞买人操作视频可在惠州市公共资源交易中心（以下简称“市交易中心”）电子交易系统下载。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七</w:t>
      </w:r>
      <w:r>
        <w:rPr>
          <w:rFonts w:hint="default" w:ascii="Times New Roman" w:hAnsi="Times New Roman" w:eastAsia="仿宋_GB2312" w:cs="Times New Roman"/>
          <w:color w:val="auto"/>
          <w:sz w:val="32"/>
          <w:szCs w:val="32"/>
        </w:rPr>
        <w:t>、注意事项</w:t>
      </w:r>
      <w:bookmarkStart w:id="1" w:name="_GoBack"/>
      <w:bookmarkEnd w:id="1"/>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w:t>
      </w:r>
      <w:r>
        <w:rPr>
          <w:rFonts w:hint="default" w:ascii="Times New Roman" w:hAnsi="Times New Roman" w:eastAsia="仿宋_GB2312" w:cs="Times New Roman"/>
          <w:color w:val="auto"/>
          <w:sz w:val="32"/>
          <w:szCs w:val="32"/>
          <w:lang w:val="en-US" w:eastAsia="zh-CN"/>
        </w:rPr>
        <w:t>矿区</w:t>
      </w:r>
      <w:r>
        <w:rPr>
          <w:rFonts w:hint="default" w:ascii="Times New Roman" w:hAnsi="Times New Roman" w:eastAsia="仿宋_GB2312" w:cs="Times New Roman"/>
          <w:color w:val="auto"/>
          <w:sz w:val="32"/>
          <w:szCs w:val="32"/>
        </w:rPr>
        <w:t>现状无异议并全部接受，对有关承诺承担法律责任。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eastAsia="zh-CN"/>
        </w:rPr>
        <w:t>）本次网上挂牌出让只接受单独竞买，不接受联合竞买。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（四）《竞价结果通知书》对挂牌人和成交候选人具有法律效力，挂牌人改变网上挂牌结果的，或者成交候选人放弃竞得</w:t>
      </w:r>
      <w:r>
        <w:rPr>
          <w:rFonts w:hint="default" w:ascii="Times New Roman" w:hAnsi="Times New Roman" w:eastAsia="仿宋_GB2312" w:cs="Times New Roman"/>
          <w:color w:val="auto"/>
          <w:sz w:val="32"/>
          <w:szCs w:val="32"/>
          <w:lang w:val="en-US" w:eastAsia="zh-CN"/>
        </w:rPr>
        <w:t>本</w:t>
      </w:r>
      <w:r>
        <w:rPr>
          <w:rFonts w:hint="default" w:ascii="Times New Roman" w:hAnsi="Times New Roman" w:eastAsia="仿宋_GB2312" w:cs="Times New Roman"/>
          <w:color w:val="auto"/>
          <w:sz w:val="32"/>
          <w:szCs w:val="32"/>
        </w:rPr>
        <w:t>宗</w:t>
      </w:r>
      <w:r>
        <w:rPr>
          <w:rFonts w:hint="default" w:ascii="Times New Roman" w:hAnsi="Times New Roman" w:eastAsia="仿宋_GB2312" w:cs="Times New Roman"/>
          <w:color w:val="auto"/>
          <w:sz w:val="32"/>
          <w:szCs w:val="32"/>
          <w:lang w:val="en-US" w:eastAsia="zh-CN"/>
        </w:rPr>
        <w:t>探矿权</w:t>
      </w:r>
      <w:r>
        <w:rPr>
          <w:rFonts w:hint="default" w:ascii="Times New Roman" w:hAnsi="Times New Roman" w:eastAsia="仿宋_GB2312" w:cs="Times New Roman"/>
          <w:color w:val="auto"/>
          <w:sz w:val="32"/>
          <w:szCs w:val="32"/>
        </w:rPr>
        <w:t>的，应当承担相应法律责任。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网上交易结束后，竞得人应当在交易结束之日起5个工作日内签订《惠州市探矿权网上挂牌出让成交确认书》，签订成交确认书后在5个工作日内与惠州市自然资源局签订《探矿权出让合同》，并在签订合同后10个工作日内，一次性缴纳探矿权成交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缴</w:t>
      </w:r>
      <w:r>
        <w:rPr>
          <w:rFonts w:hint="default" w:ascii="Times New Roman" w:hAnsi="Times New Roman" w:eastAsia="仿宋_GB2312" w:cs="Times New Roman"/>
          <w:color w:val="auto"/>
          <w:sz w:val="32"/>
          <w:szCs w:val="32"/>
          <w:lang w:val="en-US" w:eastAsia="zh-CN"/>
        </w:rPr>
        <w:t>清探矿权成交价</w:t>
      </w:r>
      <w:r>
        <w:rPr>
          <w:rFonts w:hint="default" w:ascii="Times New Roman" w:hAnsi="Times New Roman" w:eastAsia="仿宋_GB2312" w:cs="Times New Roman"/>
          <w:color w:val="auto"/>
          <w:sz w:val="32"/>
          <w:szCs w:val="32"/>
        </w:rPr>
        <w:t>款后，</w:t>
      </w:r>
      <w:r>
        <w:rPr>
          <w:rFonts w:hint="default" w:ascii="Times New Roman" w:hAnsi="Times New Roman" w:eastAsia="仿宋_GB2312" w:cs="Times New Roman"/>
          <w:color w:val="auto"/>
          <w:sz w:val="32"/>
          <w:szCs w:val="32"/>
          <w:lang w:val="en-US" w:eastAsia="zh-CN"/>
        </w:rPr>
        <w:t>竞得人须带齐出让价款完税凭证、竞买保证金到账通知书、竞价结果通知书、保证金转账凭证等资料</w:t>
      </w:r>
      <w:r>
        <w:rPr>
          <w:rFonts w:hint="default" w:ascii="Times New Roman" w:hAnsi="Times New Roman" w:eastAsia="仿宋_GB2312" w:cs="Times New Roman"/>
          <w:b w:val="0"/>
          <w:bCs w:val="0"/>
          <w:color w:val="auto"/>
          <w:sz w:val="32"/>
          <w:szCs w:val="32"/>
        </w:rPr>
        <w:t>到</w:t>
      </w:r>
      <w:r>
        <w:rPr>
          <w:rFonts w:hint="default" w:ascii="Times New Roman" w:hAnsi="Times New Roman" w:eastAsia="仿宋_GB2312" w:cs="Times New Roman"/>
          <w:b w:val="0"/>
          <w:bCs w:val="0"/>
          <w:color w:val="auto"/>
          <w:sz w:val="32"/>
          <w:szCs w:val="32"/>
          <w:lang w:val="en-US" w:eastAsia="zh-CN"/>
        </w:rPr>
        <w:t>市</w:t>
      </w:r>
      <w:r>
        <w:rPr>
          <w:rFonts w:hint="default" w:ascii="Times New Roman" w:hAnsi="Times New Roman" w:eastAsia="仿宋_GB2312" w:cs="Times New Roman"/>
          <w:b w:val="0"/>
          <w:bCs w:val="0"/>
          <w:color w:val="auto"/>
          <w:sz w:val="32"/>
          <w:szCs w:val="32"/>
        </w:rPr>
        <w:t>交易中心退还保证金，退还的保证金不计利息。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市</w:t>
      </w:r>
      <w:r>
        <w:rPr>
          <w:rFonts w:hint="default" w:ascii="Times New Roman" w:hAnsi="Times New Roman" w:eastAsia="仿宋_GB2312" w:cs="Times New Roman"/>
          <w:b w:val="0"/>
          <w:bCs w:val="0"/>
          <w:color w:val="auto"/>
          <w:sz w:val="32"/>
          <w:szCs w:val="32"/>
        </w:rPr>
        <w:t>交易中心受托提供代收代退竞买保证金服务，未竞得人缴纳的竞买保证金（以人民币缴纳的竞买保证金）将于电子挂牌交易活动结束之日起5个工作日内通过网上退还的形式原路退还保证金，不计利息。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（七）交易期间的电子交易系统服务器实行封闭管理。发生下列情形之一的，</w:t>
      </w:r>
      <w:r>
        <w:rPr>
          <w:rFonts w:hint="default" w:ascii="Times New Roman" w:hAnsi="Times New Roman" w:eastAsia="仿宋_GB2312" w:cs="Times New Roman"/>
          <w:color w:val="auto"/>
          <w:sz w:val="32"/>
          <w:szCs w:val="32"/>
          <w:lang w:val="en-US" w:eastAsia="zh-CN"/>
        </w:rPr>
        <w:t>市交易</w:t>
      </w:r>
      <w:r>
        <w:rPr>
          <w:rFonts w:hint="default" w:ascii="Times New Roman" w:hAnsi="Times New Roman" w:eastAsia="仿宋_GB2312" w:cs="Times New Roman"/>
          <w:color w:val="auto"/>
          <w:sz w:val="32"/>
          <w:szCs w:val="32"/>
        </w:rPr>
        <w:t>中心需暂停、中止或终止交易活动，并及时将相关情况报政府有关行政主管部门处理，在公共资源交易平台网上予以公告。待</w:t>
      </w:r>
      <w:r>
        <w:rPr>
          <w:rFonts w:hint="default" w:ascii="Times New Roman" w:hAnsi="Times New Roman" w:eastAsia="仿宋_GB2312" w:cs="Times New Roman"/>
          <w:color w:val="auto"/>
          <w:sz w:val="32"/>
          <w:szCs w:val="32"/>
          <w:lang w:val="en-US" w:eastAsia="zh-CN"/>
        </w:rPr>
        <w:t>市自然资源局对</w:t>
      </w:r>
      <w:r>
        <w:rPr>
          <w:rFonts w:hint="default" w:ascii="Times New Roman" w:hAnsi="Times New Roman" w:eastAsia="仿宋_GB2312" w:cs="Times New Roman"/>
          <w:color w:val="auto"/>
          <w:sz w:val="32"/>
          <w:szCs w:val="32"/>
        </w:rPr>
        <w:t>问题排查、清除后，依法重新组织交易活动。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1、电子交易系统受到黑客、病毒恶意攻击的；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2、公共资源交易平台因停电、电子交易系统故障、网络故障、交易软件或数据库错误等因素影响到交易活动不能正常进行的；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3、电子交易系统发现有安全漏洞，有潜在泄密危险，无法保证电子交易信息安全和公平公正交易的；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4、政府有关行政主管部门及司法机关依法要求暂停、中止或终止交易的；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val="en-US" w:eastAsia="zh-CN"/>
        </w:rPr>
        <w:t>市自然资源局</w:t>
      </w:r>
      <w:r>
        <w:rPr>
          <w:rFonts w:hint="default" w:ascii="Times New Roman" w:hAnsi="Times New Roman" w:eastAsia="仿宋_GB2312" w:cs="Times New Roman"/>
          <w:color w:val="auto"/>
          <w:sz w:val="32"/>
          <w:szCs w:val="32"/>
        </w:rPr>
        <w:t>书面通知交易中心要求暂停、中止或终止交易的；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6、依法应当暂停、中止或终止交易的其他情形。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八</w:t>
      </w:r>
      <w:r>
        <w:rPr>
          <w:rFonts w:hint="default" w:ascii="Times New Roman" w:hAnsi="Times New Roman" w:eastAsia="仿宋_GB2312" w:cs="Times New Roman"/>
          <w:color w:val="auto"/>
          <w:sz w:val="32"/>
          <w:szCs w:val="32"/>
        </w:rPr>
        <w:t>）竞得人与</w:t>
      </w:r>
      <w:r>
        <w:rPr>
          <w:rFonts w:hint="default" w:ascii="Times New Roman" w:hAnsi="Times New Roman" w:eastAsia="仿宋_GB2312" w:cs="Times New Roman"/>
          <w:color w:val="auto"/>
          <w:sz w:val="32"/>
          <w:szCs w:val="32"/>
          <w:lang w:val="en-US" w:eastAsia="zh-CN"/>
        </w:rPr>
        <w:t>市自然资源局</w:t>
      </w:r>
      <w:r>
        <w:rPr>
          <w:rFonts w:hint="default" w:ascii="Times New Roman" w:hAnsi="Times New Roman" w:eastAsia="仿宋_GB2312" w:cs="Times New Roman"/>
          <w:color w:val="auto"/>
          <w:sz w:val="32"/>
          <w:szCs w:val="32"/>
        </w:rPr>
        <w:t>签订出让合同后，应当按出让合同约定支付网上挂牌成交价款。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九</w:t>
      </w:r>
      <w:r>
        <w:rPr>
          <w:rFonts w:hint="default" w:ascii="Times New Roman" w:hAnsi="Times New Roman" w:eastAsia="仿宋_GB2312" w:cs="Times New Roman"/>
          <w:color w:val="auto"/>
          <w:sz w:val="32"/>
          <w:szCs w:val="32"/>
        </w:rPr>
        <w:t>）出让收益不包含竞得人在办理探矿权登记手续及地质勘查活动中按法律法规规定应当缴纳的其他费用。竞得人转为采矿权后，应逐年缴纳采矿权出让收益，具体按《采矿权出让合同》约定办理。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（十）网上挂牌不成交的，由</w:t>
      </w:r>
      <w:r>
        <w:rPr>
          <w:rFonts w:hint="default" w:ascii="Times New Roman" w:hAnsi="Times New Roman" w:eastAsia="仿宋_GB2312" w:cs="Times New Roman"/>
          <w:color w:val="auto"/>
          <w:sz w:val="32"/>
          <w:szCs w:val="32"/>
          <w:lang w:val="en-US" w:eastAsia="zh-CN"/>
        </w:rPr>
        <w:t>市自然资源局</w:t>
      </w:r>
      <w:r>
        <w:rPr>
          <w:rFonts w:hint="default" w:ascii="Times New Roman" w:hAnsi="Times New Roman" w:eastAsia="仿宋_GB2312" w:cs="Times New Roman"/>
          <w:color w:val="auto"/>
          <w:sz w:val="32"/>
          <w:szCs w:val="32"/>
        </w:rPr>
        <w:t>重新组织挂牌出让。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）出让公告、竞买须知及相关交易文件需要修改、补充时，将通过原公告发布渠道公告，不作另行通知。</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申请人应当及时关注该</w:t>
      </w:r>
      <w:r>
        <w:rPr>
          <w:rFonts w:hint="default" w:ascii="Times New Roman" w:hAnsi="Times New Roman" w:eastAsia="仿宋_GB2312" w:cs="Times New Roman"/>
          <w:color w:val="auto"/>
          <w:sz w:val="32"/>
          <w:szCs w:val="32"/>
          <w:lang w:val="en-US" w:eastAsia="zh-CN"/>
        </w:rPr>
        <w:t>本</w:t>
      </w:r>
      <w:r>
        <w:rPr>
          <w:rFonts w:hint="default" w:ascii="Times New Roman" w:hAnsi="Times New Roman" w:eastAsia="仿宋_GB2312" w:cs="Times New Roman"/>
          <w:color w:val="auto"/>
          <w:sz w:val="32"/>
          <w:szCs w:val="32"/>
        </w:rPr>
        <w:t>宗</w:t>
      </w:r>
      <w:r>
        <w:rPr>
          <w:rFonts w:hint="default" w:ascii="Times New Roman" w:hAnsi="Times New Roman" w:eastAsia="仿宋_GB2312" w:cs="Times New Roman"/>
          <w:color w:val="auto"/>
          <w:sz w:val="32"/>
          <w:szCs w:val="32"/>
          <w:lang w:val="en-US" w:eastAsia="zh-CN"/>
        </w:rPr>
        <w:t>探矿权</w:t>
      </w:r>
      <w:r>
        <w:rPr>
          <w:rFonts w:hint="default" w:ascii="Times New Roman" w:hAnsi="Times New Roman" w:eastAsia="仿宋_GB2312" w:cs="Times New Roman"/>
          <w:color w:val="auto"/>
          <w:sz w:val="32"/>
          <w:szCs w:val="32"/>
        </w:rPr>
        <w:t>的网上挂牌交易信息。</w:t>
      </w:r>
      <w:r>
        <w:rPr>
          <w:rFonts w:hint="default" w:ascii="Times New Roman" w:hAnsi="Times New Roman" w:eastAsia="仿宋_GB2312" w:cs="Times New Roman"/>
          <w:color w:val="auto"/>
          <w:sz w:val="32"/>
          <w:szCs w:val="32"/>
          <w:lang w:val="en-US" w:eastAsia="zh-CN"/>
        </w:rPr>
        <w:t>市自然资源局</w:t>
      </w:r>
      <w:r>
        <w:rPr>
          <w:rFonts w:hint="default" w:ascii="Times New Roman" w:hAnsi="Times New Roman" w:eastAsia="仿宋_GB2312" w:cs="Times New Roman"/>
          <w:color w:val="auto"/>
          <w:sz w:val="32"/>
          <w:szCs w:val="32"/>
        </w:rPr>
        <w:t>发出的修改、补充公告，与出让公告、竞买须知及相关交易文件具有同等效力。若与出让公告、竞买须知及相关交易文件有矛盾时，以日期在后者为准。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（十二）本</w:t>
      </w:r>
      <w:r>
        <w:rPr>
          <w:rFonts w:hint="default" w:ascii="Times New Roman" w:hAnsi="Times New Roman" w:eastAsia="仿宋_GB2312" w:cs="Times New Roman"/>
          <w:color w:val="auto"/>
          <w:sz w:val="32"/>
          <w:szCs w:val="32"/>
          <w:lang w:val="en-US" w:eastAsia="zh-CN"/>
        </w:rPr>
        <w:t>出让</w:t>
      </w:r>
      <w:r>
        <w:rPr>
          <w:rFonts w:hint="default" w:ascii="Times New Roman" w:hAnsi="Times New Roman" w:eastAsia="仿宋_GB2312" w:cs="Times New Roman"/>
          <w:color w:val="auto"/>
          <w:sz w:val="32"/>
          <w:szCs w:val="32"/>
        </w:rPr>
        <w:t>竞买须知及出让公告涉及的时间期限，以网上挂牌交易系统服务器的时间为准。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（十三）</w:t>
      </w:r>
      <w:r>
        <w:rPr>
          <w:rFonts w:hint="default" w:ascii="Times New Roman" w:hAnsi="Times New Roman" w:eastAsia="仿宋_GB2312" w:cs="Times New Roman"/>
          <w:strike w:val="0"/>
          <w:dstrike w:val="0"/>
          <w:color w:val="auto"/>
          <w:sz w:val="32"/>
          <w:szCs w:val="32"/>
          <w:lang w:val="en-US" w:eastAsia="zh-CN"/>
        </w:rPr>
        <w:t>市自然资源局</w:t>
      </w:r>
      <w:r>
        <w:rPr>
          <w:rFonts w:hint="default" w:ascii="Times New Roman" w:hAnsi="Times New Roman" w:eastAsia="仿宋_GB2312" w:cs="Times New Roman"/>
          <w:color w:val="auto"/>
          <w:sz w:val="32"/>
          <w:szCs w:val="32"/>
        </w:rPr>
        <w:t>对本《须知》有解释权。未尽事宜依照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矿业权交易规则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办理。</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惠州市</w:t>
      </w:r>
      <w:r>
        <w:rPr>
          <w:rFonts w:hint="default" w:ascii="Times New Roman" w:hAnsi="Times New Roman" w:eastAsia="仿宋_GB2312" w:cs="Times New Roman"/>
          <w:color w:val="auto"/>
          <w:sz w:val="32"/>
          <w:szCs w:val="32"/>
          <w:lang w:val="en-US" w:eastAsia="zh-CN"/>
        </w:rPr>
        <w:t>自然资源局</w:t>
      </w: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auto"/>
          <w:sz w:val="32"/>
          <w:szCs w:val="32"/>
          <w:highlight w:val="none"/>
          <w:lang w:val="en-US" w:eastAsia="zh-CN"/>
        </w:rPr>
        <w:t>2025</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auto"/>
    <w:pitch w:val="default"/>
    <w:sig w:usb0="E00006FF" w:usb1="0000FCFF" w:usb2="00000001" w:usb3="00000000" w:csb0="600001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2E01C1"/>
    <w:rsid w:val="008C3E6C"/>
    <w:rsid w:val="03993807"/>
    <w:rsid w:val="042B0F17"/>
    <w:rsid w:val="053C7025"/>
    <w:rsid w:val="060C39AF"/>
    <w:rsid w:val="06587A83"/>
    <w:rsid w:val="06874FFB"/>
    <w:rsid w:val="07EC43E5"/>
    <w:rsid w:val="09DF25C2"/>
    <w:rsid w:val="0A611896"/>
    <w:rsid w:val="0B1D7A4B"/>
    <w:rsid w:val="0C0250BE"/>
    <w:rsid w:val="0C282C83"/>
    <w:rsid w:val="0D1C2261"/>
    <w:rsid w:val="0D5A2878"/>
    <w:rsid w:val="0D7E3E55"/>
    <w:rsid w:val="0D96631E"/>
    <w:rsid w:val="0E020F1E"/>
    <w:rsid w:val="0E4C7CEC"/>
    <w:rsid w:val="0F586A0D"/>
    <w:rsid w:val="0F883D87"/>
    <w:rsid w:val="0F8B058F"/>
    <w:rsid w:val="10052457"/>
    <w:rsid w:val="10ED0CD9"/>
    <w:rsid w:val="11EB4C73"/>
    <w:rsid w:val="12413F80"/>
    <w:rsid w:val="137F4138"/>
    <w:rsid w:val="15090F10"/>
    <w:rsid w:val="151144D4"/>
    <w:rsid w:val="15640325"/>
    <w:rsid w:val="156712A9"/>
    <w:rsid w:val="172B7C90"/>
    <w:rsid w:val="185D1307"/>
    <w:rsid w:val="19D865F5"/>
    <w:rsid w:val="1BC5039F"/>
    <w:rsid w:val="1CE56278"/>
    <w:rsid w:val="1DAD3E49"/>
    <w:rsid w:val="204D616C"/>
    <w:rsid w:val="20B501B7"/>
    <w:rsid w:val="210D6AF8"/>
    <w:rsid w:val="224C5F2F"/>
    <w:rsid w:val="23C434A5"/>
    <w:rsid w:val="24134E9E"/>
    <w:rsid w:val="24C818E6"/>
    <w:rsid w:val="24EC4FEB"/>
    <w:rsid w:val="24F414B1"/>
    <w:rsid w:val="26BA5CA1"/>
    <w:rsid w:val="28890BEC"/>
    <w:rsid w:val="29EF3FF5"/>
    <w:rsid w:val="2A4E247F"/>
    <w:rsid w:val="2A6B4389"/>
    <w:rsid w:val="2A924B49"/>
    <w:rsid w:val="2AE934B9"/>
    <w:rsid w:val="2AFE32B2"/>
    <w:rsid w:val="2B432CB7"/>
    <w:rsid w:val="2BC40776"/>
    <w:rsid w:val="2BEE01C4"/>
    <w:rsid w:val="2C583AF7"/>
    <w:rsid w:val="2F7429DD"/>
    <w:rsid w:val="2FCC3A6A"/>
    <w:rsid w:val="2FDF7015"/>
    <w:rsid w:val="30746475"/>
    <w:rsid w:val="33C125E5"/>
    <w:rsid w:val="34803059"/>
    <w:rsid w:val="35E1664C"/>
    <w:rsid w:val="36F90A3C"/>
    <w:rsid w:val="37251A19"/>
    <w:rsid w:val="37C16E7D"/>
    <w:rsid w:val="39192335"/>
    <w:rsid w:val="39B55791"/>
    <w:rsid w:val="3E9A6DB8"/>
    <w:rsid w:val="3EDD7EFD"/>
    <w:rsid w:val="3F4C2CB2"/>
    <w:rsid w:val="403D03A1"/>
    <w:rsid w:val="40897CFD"/>
    <w:rsid w:val="42181B5C"/>
    <w:rsid w:val="43F63E0D"/>
    <w:rsid w:val="453A4E92"/>
    <w:rsid w:val="464157E9"/>
    <w:rsid w:val="49E91762"/>
    <w:rsid w:val="4A497E70"/>
    <w:rsid w:val="4A9B3349"/>
    <w:rsid w:val="4AC17950"/>
    <w:rsid w:val="4C12415D"/>
    <w:rsid w:val="4CF035B9"/>
    <w:rsid w:val="4D0D641F"/>
    <w:rsid w:val="4D1D7E84"/>
    <w:rsid w:val="4D6B15AF"/>
    <w:rsid w:val="4D734DF8"/>
    <w:rsid w:val="4F2F65F9"/>
    <w:rsid w:val="4F5A4EBF"/>
    <w:rsid w:val="4F5E38C5"/>
    <w:rsid w:val="4F624AF9"/>
    <w:rsid w:val="4FB51F95"/>
    <w:rsid w:val="4FD33DE2"/>
    <w:rsid w:val="5108493A"/>
    <w:rsid w:val="513A5026"/>
    <w:rsid w:val="518B68B4"/>
    <w:rsid w:val="51A2659D"/>
    <w:rsid w:val="51A97575"/>
    <w:rsid w:val="544F463D"/>
    <w:rsid w:val="54A53B89"/>
    <w:rsid w:val="54AC14F8"/>
    <w:rsid w:val="54C52422"/>
    <w:rsid w:val="54E70CB7"/>
    <w:rsid w:val="558B3E01"/>
    <w:rsid w:val="560B6EB6"/>
    <w:rsid w:val="56A94E01"/>
    <w:rsid w:val="57240572"/>
    <w:rsid w:val="57C64783"/>
    <w:rsid w:val="58062D10"/>
    <w:rsid w:val="583F4C58"/>
    <w:rsid w:val="58896FC3"/>
    <w:rsid w:val="5A8A0F99"/>
    <w:rsid w:val="5AC10929"/>
    <w:rsid w:val="5C0C6531"/>
    <w:rsid w:val="5C6739B4"/>
    <w:rsid w:val="5D42226E"/>
    <w:rsid w:val="5D497381"/>
    <w:rsid w:val="5D614AA8"/>
    <w:rsid w:val="5D850596"/>
    <w:rsid w:val="5E373C13"/>
    <w:rsid w:val="5E770480"/>
    <w:rsid w:val="5EFA1418"/>
    <w:rsid w:val="5FCF49FC"/>
    <w:rsid w:val="60DE0679"/>
    <w:rsid w:val="61A431E0"/>
    <w:rsid w:val="63A26C03"/>
    <w:rsid w:val="651B68E5"/>
    <w:rsid w:val="653013F7"/>
    <w:rsid w:val="65733ED9"/>
    <w:rsid w:val="67834251"/>
    <w:rsid w:val="67FC389A"/>
    <w:rsid w:val="691B3097"/>
    <w:rsid w:val="6AC34BC3"/>
    <w:rsid w:val="6B1F4E4B"/>
    <w:rsid w:val="6C026FB6"/>
    <w:rsid w:val="6CA57501"/>
    <w:rsid w:val="6CAF45DD"/>
    <w:rsid w:val="6DB6160C"/>
    <w:rsid w:val="6DE00A2C"/>
    <w:rsid w:val="6DE327E9"/>
    <w:rsid w:val="6EE37AB3"/>
    <w:rsid w:val="700852D9"/>
    <w:rsid w:val="70962A55"/>
    <w:rsid w:val="712B4136"/>
    <w:rsid w:val="719036D3"/>
    <w:rsid w:val="733A1EFB"/>
    <w:rsid w:val="735C1771"/>
    <w:rsid w:val="7364055E"/>
    <w:rsid w:val="745676AC"/>
    <w:rsid w:val="766A2811"/>
    <w:rsid w:val="7767567E"/>
    <w:rsid w:val="777438A8"/>
    <w:rsid w:val="77E16728"/>
    <w:rsid w:val="78CA2EA9"/>
    <w:rsid w:val="79A669E4"/>
    <w:rsid w:val="79CB18BC"/>
    <w:rsid w:val="79F63A97"/>
    <w:rsid w:val="7AE74C21"/>
    <w:rsid w:val="7B293CFA"/>
    <w:rsid w:val="7EE33139"/>
    <w:rsid w:val="7FD03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1"/>
    <w:basedOn w:val="1"/>
    <w:next w:val="3"/>
    <w:qFormat/>
    <w:uiPriority w:val="0"/>
    <w:pPr>
      <w:widowControl/>
      <w:spacing w:line="360" w:lineRule="auto"/>
      <w:ind w:firstLine="600"/>
      <w:jc w:val="left"/>
    </w:pPr>
    <w:rPr>
      <w:rFonts w:ascii="宋体" w:hAnsi="宋体" w:eastAsia="仿宋_GB2312"/>
      <w:kern w:val="0"/>
      <w:sz w:val="30"/>
    </w:rPr>
  </w:style>
  <w:style w:type="paragraph" w:styleId="3">
    <w:name w:val="Body Text Indent 2"/>
    <w:basedOn w:val="1"/>
    <w:qFormat/>
    <w:uiPriority w:val="0"/>
    <w:pPr>
      <w:spacing w:after="120" w:line="480" w:lineRule="auto"/>
      <w:ind w:left="420" w:leftChars="200"/>
    </w:pPr>
  </w:style>
  <w:style w:type="paragraph" w:styleId="4">
    <w:name w:val="Normal Indent"/>
    <w:basedOn w:val="1"/>
    <w:unhideWhenUsed/>
    <w:qFormat/>
    <w:uiPriority w:val="0"/>
    <w:pPr>
      <w:ind w:firstLine="420" w:firstLineChars="200"/>
    </w:pPr>
  </w:style>
  <w:style w:type="paragraph" w:styleId="5">
    <w:name w:val="Block Text"/>
    <w:basedOn w:val="1"/>
    <w:next w:val="1"/>
    <w:unhideWhenUsed/>
    <w:qFormat/>
    <w:uiPriority w:val="99"/>
    <w:pPr>
      <w:spacing w:after="120" w:afterLines="0" w:afterAutospacing="0"/>
      <w:ind w:left="1440" w:leftChars="700" w:rightChars="7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jc w:val="left"/>
    </w:pPr>
    <w:rPr>
      <w:kern w:val="0"/>
      <w:sz w:val="24"/>
    </w:rPr>
  </w:style>
  <w:style w:type="character" w:styleId="11">
    <w:name w:val="Strong"/>
    <w:basedOn w:val="10"/>
    <w:qFormat/>
    <w:uiPriority w:val="0"/>
    <w:rPr>
      <w:b/>
      <w:bCs/>
      <w:sz w:val="20"/>
      <w:szCs w:val="20"/>
    </w:rPr>
  </w:style>
  <w:style w:type="character" w:styleId="12">
    <w:name w:val="FollowedHyperlink"/>
    <w:basedOn w:val="10"/>
    <w:qFormat/>
    <w:uiPriority w:val="0"/>
    <w:rPr>
      <w:color w:val="337AB7"/>
      <w:u w:val="none"/>
    </w:rPr>
  </w:style>
  <w:style w:type="character" w:styleId="13">
    <w:name w:val="HTML Definition"/>
    <w:basedOn w:val="10"/>
    <w:qFormat/>
    <w:uiPriority w:val="0"/>
    <w:rPr>
      <w:i/>
      <w:iCs/>
    </w:rPr>
  </w:style>
  <w:style w:type="character" w:styleId="14">
    <w:name w:val="Hyperlink"/>
    <w:basedOn w:val="10"/>
    <w:qFormat/>
    <w:uiPriority w:val="0"/>
    <w:rPr>
      <w:color w:val="337AB7"/>
      <w:u w:val="none"/>
    </w:rPr>
  </w:style>
  <w:style w:type="character" w:styleId="15">
    <w:name w:val="HTML Code"/>
    <w:basedOn w:val="10"/>
    <w:qFormat/>
    <w:uiPriority w:val="0"/>
    <w:rPr>
      <w:rFonts w:hint="default" w:ascii="Consolas" w:hAnsi="Consolas" w:eastAsia="Consolas" w:cs="Consolas"/>
      <w:color w:val="C7254E"/>
      <w:sz w:val="21"/>
      <w:szCs w:val="21"/>
      <w:shd w:val="clear" w:fill="F9F2F4"/>
    </w:rPr>
  </w:style>
  <w:style w:type="character" w:styleId="16">
    <w:name w:val="HTML Keyboard"/>
    <w:basedOn w:val="10"/>
    <w:qFormat/>
    <w:uiPriority w:val="0"/>
    <w:rPr>
      <w:rFonts w:hint="default" w:ascii="Consolas" w:hAnsi="Consolas" w:eastAsia="Consolas" w:cs="Consolas"/>
      <w:color w:val="FFFFFF"/>
      <w:sz w:val="21"/>
      <w:szCs w:val="21"/>
      <w:shd w:val="clear" w:fill="333333"/>
    </w:rPr>
  </w:style>
  <w:style w:type="character" w:styleId="17">
    <w:name w:val="HTML Sample"/>
    <w:basedOn w:val="10"/>
    <w:qFormat/>
    <w:uiPriority w:val="0"/>
    <w:rPr>
      <w:rFonts w:ascii="Consolas" w:hAnsi="Consolas" w:eastAsia="Consolas" w:cs="Consolas"/>
      <w:sz w:val="21"/>
      <w:szCs w:val="21"/>
    </w:rPr>
  </w:style>
  <w:style w:type="character" w:customStyle="1" w:styleId="18">
    <w:name w:val="layui-layer-tabnow"/>
    <w:basedOn w:val="10"/>
    <w:uiPriority w:val="0"/>
    <w:rPr>
      <w:bdr w:val="single" w:color="CCCCCC" w:sz="4" w:space="0"/>
      <w:shd w:val="clear" w:fill="FFFFFF"/>
    </w:rPr>
  </w:style>
  <w:style w:type="character" w:customStyle="1" w:styleId="19">
    <w:name w:val="actspan"/>
    <w:basedOn w:val="10"/>
    <w:qFormat/>
    <w:uiPriority w:val="0"/>
  </w:style>
  <w:style w:type="character" w:customStyle="1" w:styleId="20">
    <w:name w:val="first-child"/>
    <w:basedOn w:val="10"/>
    <w:qFormat/>
    <w:uiPriority w:val="0"/>
  </w:style>
  <w:style w:type="character" w:customStyle="1" w:styleId="21">
    <w:name w:val="actspan2"/>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惠东县</Company>
  <Pages>12</Pages>
  <Words>5480</Words>
  <Characters>5578</Characters>
  <Lines>0</Lines>
  <Paragraphs>0</Paragraphs>
  <TotalTime>13</TotalTime>
  <ScaleCrop>false</ScaleCrop>
  <LinksUpToDate>false</LinksUpToDate>
  <CharactersWithSpaces>5631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柳云童</cp:lastModifiedBy>
  <dcterms:modified xsi:type="dcterms:W3CDTF">2025-03-05T02:53:40Z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A0AB8CE754B040F3BC2054DE00597FFB</vt:lpwstr>
  </property>
</Properties>
</file>