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054</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、网上挂牌竞买时间为202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eastAsia="zh-CN"/>
        </w:rPr>
        <w:t>日9时至202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lang w:eastAsia="zh-CN"/>
        </w:rPr>
        <w:t>日10时。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三、挂牌起始价为人民币64400万元,每次报价加价幅度为人民币500万元的整数倍</w:t>
      </w:r>
      <w:r>
        <w:rPr>
          <w:rFonts w:hint="eastAsia" w:ascii="仿宋_GB2312" w:hAnsi="仿宋_GB2312" w:eastAsia="仿宋_GB2312" w:cs="仿宋_GB2312"/>
          <w:sz w:val="32"/>
          <w:szCs w:val="32"/>
          <w:highlight w:val="none"/>
        </w:rPr>
        <w:t>。</w:t>
      </w:r>
    </w:p>
    <w:p>
      <w:pPr>
        <w:spacing w:line="520" w:lineRule="exact"/>
        <w:ind w:firstLine="720" w:firstLineChars="22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1、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2、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szCs w:val="32"/>
          <w:highlight w:val="none"/>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二</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r>
        <w:rPr>
          <w:rFonts w:hint="default" w:ascii="仿宋_GB2312" w:hAnsi="仿宋_GB2312" w:eastAsia="仿宋_GB2312" w:cs="仿宋_GB2312"/>
          <w:szCs w:val="32"/>
          <w:highlight w:val="none"/>
          <w:lang w:val="en-US" w:eastAsia="zh-CN"/>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五</w:t>
      </w:r>
      <w:r>
        <w:rPr>
          <w:rFonts w:hint="eastAsia" w:ascii="仿宋_GB2312" w:hAnsi="仿宋_GB2312" w:eastAsia="仿宋_GB2312" w:cs="仿宋_GB2312"/>
          <w:szCs w:val="32"/>
          <w:highlight w:val="none"/>
        </w:rPr>
        <w:t>、该宗地竞买保证金可用人民币及外币（暂限于美元、港币）支付</w:t>
      </w:r>
      <w:r>
        <w:rPr>
          <w:rFonts w:hint="eastAsia" w:ascii="仿宋_GB2312" w:hAnsi="仿宋_GB2312" w:eastAsia="仿宋_GB2312" w:cs="仿宋_GB2312"/>
          <w:szCs w:val="32"/>
          <w:highlight w:val="none"/>
          <w:lang w:eastAsia="zh-CN"/>
        </w:rPr>
        <w:t>。</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一）缴交竞买保证金19320万元人民币，如以外币缴交竞买保证金的，须缴交美元3035万元、港币23670万元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5、至报名日止仍拖欠政府地价款的;</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、本次国有建设用地使用权网上挂牌竞价达到74060万元时，转为采取摇号方式确定竞得人。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w:t>
      </w:r>
      <w:r>
        <w:rPr>
          <w:rFonts w:hint="eastAsia" w:ascii="仿宋_GB2312" w:hAnsi="仿宋_GB2312" w:eastAsia="仿宋_GB2312" w:cs="仿宋_GB2312"/>
          <w:sz w:val="32"/>
          <w:szCs w:val="32"/>
          <w:highlight w:val="none"/>
          <w:lang w:val="en-US" w:eastAsia="zh-CN"/>
        </w:rPr>
        <w:t>2022年1月29日上</w:t>
      </w:r>
      <w:r>
        <w:rPr>
          <w:rFonts w:hint="eastAsia" w:ascii="仿宋_GB2312" w:hAnsi="仿宋_GB2312" w:eastAsia="仿宋_GB2312" w:cs="仿宋_GB2312"/>
          <w:sz w:val="32"/>
          <w:szCs w:val="32"/>
          <w:highlight w:val="none"/>
        </w:rPr>
        <w:t>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时止</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（一）竞得地块开发企业办理住宅预售许可前，应申请销售价格备案，单套毛坯住房销售单价不得高于18242元/㎡。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（二）开发投资总额不少于96800万元（含地价,不含地价溢价部分）。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（四）该地属政府储备地，没有法律经济纠纷，具备动工开发所必须的基本条件。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（五）竞得人须按《规划设计条件告知书》（案卷编号：PB20210078）要求配建相关配套设施。</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须配建总建筑面积不低于5390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LJL-47-27</w:t>
      </w:r>
      <w:r>
        <w:rPr>
          <w:rFonts w:hint="eastAsia" w:ascii="仿宋_GB2312" w:hAnsi="仿宋_GB2312" w:eastAsia="仿宋_GB2312" w:cs="仿宋_GB2312"/>
          <w:color w:val="auto"/>
          <w:sz w:val="32"/>
          <w:szCs w:val="32"/>
          <w:highlight w:val="none"/>
        </w:rPr>
        <w:t>地块幼儿园用地同步划拨给惠城区教育局，由取得</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地块的土地使用权者按照规划要求和惠城区教育局提出的建设标准完成配套幼儿园建设并无偿移交惠城区教育局。</w:t>
      </w:r>
      <w:r>
        <w:rPr>
          <w:rFonts w:hint="eastAsia" w:ascii="仿宋_GB2312" w:hAnsi="仿宋_GB2312" w:eastAsia="仿宋_GB2312" w:cs="仿宋_GB2312"/>
          <w:color w:val="auto"/>
          <w:sz w:val="32"/>
          <w:szCs w:val="32"/>
          <w:highlight w:val="none"/>
          <w:lang w:eastAsia="zh-CN"/>
        </w:rPr>
        <w:t>LJL-47-27</w:t>
      </w:r>
      <w:r>
        <w:rPr>
          <w:rFonts w:hint="eastAsia" w:ascii="仿宋_GB2312" w:hAnsi="仿宋_GB2312" w:eastAsia="仿宋_GB2312" w:cs="仿宋_GB2312"/>
          <w:color w:val="auto"/>
          <w:sz w:val="32"/>
          <w:szCs w:val="32"/>
          <w:highlight w:val="none"/>
        </w:rPr>
        <w:t>地块和</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地块应同步规划设计、同步建设、同步验收交付使用，如</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分期建设，该幼儿园应纳入首期工程。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（八）取得</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地块的土地使用权者须按规划要求及相关规范承担规划二路和规划三路（包括雨水管、污水管、电力电缆沟和通信管群）的建设，建成后无偿移交政府相关部门。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eastAsia="zh-CN"/>
        </w:rPr>
        <w:t>LJL-47-27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地块涉及的现状10KV架空线须由取得</w:t>
      </w:r>
      <w:r>
        <w:rPr>
          <w:rFonts w:hint="eastAsia" w:ascii="仿宋_GB2312" w:hAnsi="仿宋_GB2312" w:eastAsia="仿宋_GB2312" w:cs="仿宋_GB2312"/>
          <w:color w:val="auto"/>
          <w:sz w:val="32"/>
          <w:szCs w:val="32"/>
          <w:highlight w:val="none"/>
          <w:lang w:eastAsia="zh-CN"/>
        </w:rPr>
        <w:t>LJL-47-28</w:t>
      </w:r>
      <w:r>
        <w:rPr>
          <w:rFonts w:hint="eastAsia" w:ascii="仿宋_GB2312" w:hAnsi="仿宋_GB2312" w:eastAsia="仿宋_GB2312" w:cs="仿宋_GB2312"/>
          <w:color w:val="auto"/>
          <w:sz w:val="32"/>
          <w:szCs w:val="32"/>
          <w:highlight w:val="none"/>
        </w:rPr>
        <w:t>地块土地使用者按供电部门要求负责迁移。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（十）竞得人在用地红线内开发建设必须符合城市规划要求，必须按《规划设计条件告知书》（案卷编号：PB20210078）规划控制指标要求及有关规定进行规划设计</w:t>
      </w:r>
      <w:r>
        <w:rPr>
          <w:rFonts w:hint="eastAsia" w:ascii="仿宋_GB2312" w:hAnsi="仿宋_GB2312" w:eastAsia="仿宋_GB2312" w:cs="仿宋_GB2312"/>
          <w:kern w:val="2"/>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（十一）竞得人有下列行为之一的，取消竞得人资格，竞买保证金不予退还,并由有关部门依法处理;造成损失的，竞得人还应依法承担赔偿责任：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）挂牌出让价款不含应由竞得人缴纳的契税、印花税等有关费用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（一）惠州市自然资源局</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联系地址：惠州市江北三新南路7号</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王</w:t>
      </w:r>
      <w:r>
        <w:rPr>
          <w:rFonts w:hint="eastAsia" w:ascii="仿宋_GB2312" w:hAnsi="仿宋_GB2312" w:eastAsia="仿宋_GB2312" w:cs="仿宋_GB2312"/>
          <w:color w:val="auto"/>
          <w:sz w:val="32"/>
          <w:szCs w:val="32"/>
          <w:highlight w:val="none"/>
        </w:rPr>
        <w:t>工</w:t>
      </w:r>
    </w:p>
    <w:p>
      <w:pPr>
        <w:spacing w:line="520" w:lineRule="exact"/>
        <w:ind w:right="6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联系电话：（0752）2896313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联系地址：广东省惠州市惠城区三新北路31号市民服务中心3号楼一楼108室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w:t>
      </w:r>
      <w:r>
        <w:rPr>
          <w:rFonts w:hint="eastAsia" w:ascii="仿宋_GB2312" w:hAnsi="仿宋_GB2312" w:eastAsia="仿宋_GB2312" w:cs="仿宋_GB2312"/>
          <w:color w:val="auto"/>
          <w:sz w:val="32"/>
          <w:szCs w:val="32"/>
          <w:highlight w:val="none"/>
        </w:rPr>
        <w:t>工</w:t>
      </w:r>
      <w:r>
        <w:rPr>
          <w:rFonts w:hint="eastAsia" w:ascii="仿宋_GB2312" w:hAnsi="仿宋_GB2312" w:eastAsia="仿宋_GB2312" w:cs="仿宋_GB2312"/>
          <w:color w:val="auto"/>
          <w:kern w:val="2"/>
          <w:sz w:val="32"/>
          <w:szCs w:val="32"/>
          <w:highlight w:val="none"/>
          <w:lang w:val="en-US" w:eastAsia="zh-CN" w:bidi="ar-SA"/>
        </w:rPr>
        <w:t>、杨</w:t>
      </w:r>
      <w:r>
        <w:rPr>
          <w:rFonts w:hint="eastAsia" w:ascii="仿宋_GB2312" w:hAnsi="仿宋_GB2312" w:eastAsia="仿宋_GB2312" w:cs="仿宋_GB2312"/>
          <w:color w:val="auto"/>
          <w:sz w:val="32"/>
          <w:szCs w:val="32"/>
          <w:highlight w:val="none"/>
        </w:rPr>
        <w:t>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2021年12月27日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用地</w:t>
            </w:r>
            <w:r>
              <w:rPr>
                <w:rFonts w:hint="default" w:ascii="Times New Roman" w:hAnsi="Times New Roman" w:eastAsia="仿宋_GB2312" w:cs="Times New Roman"/>
                <w:b/>
                <w:bCs/>
                <w:szCs w:val="21"/>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1004"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1005" w:type="dxa"/>
            <w:vAlign w:val="center"/>
          </w:tcPr>
          <w:p>
            <w:pPr>
              <w:autoSpaceDE w:val="0"/>
              <w:autoSpaceDN w:val="0"/>
              <w:adjustRightInd w:val="0"/>
              <w:spacing w:line="240" w:lineRule="exact"/>
              <w:jc w:val="center"/>
              <w:rPr>
                <w:rFonts w:hint="default" w:ascii="Times New Roman" w:hAnsi="Times New Roman" w:cs="Times New Roman"/>
                <w:b/>
                <w:bCs/>
                <w:szCs w:val="21"/>
              </w:rPr>
            </w:pPr>
            <w:r>
              <w:rPr>
                <w:rFonts w:hint="default" w:ascii="Times New Roman" w:hAnsi="Times New Roman" w:eastAsia="仿宋_GB2312" w:cs="Times New Roman"/>
                <w:b/>
                <w:bCs/>
                <w:szCs w:val="21"/>
              </w:rPr>
              <w:t>宗地使用权面积</w:t>
            </w:r>
          </w:p>
        </w:tc>
        <w:tc>
          <w:tcPr>
            <w:tcW w:w="772"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建筑密度</w:t>
            </w:r>
          </w:p>
        </w:tc>
        <w:tc>
          <w:tcPr>
            <w:tcW w:w="645"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容积率</w:t>
            </w:r>
          </w:p>
        </w:tc>
        <w:tc>
          <w:tcPr>
            <w:tcW w:w="1088"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仿宋_GB2312" w:cs="Times New Roman"/>
                <w:b/>
                <w:szCs w:val="21"/>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适建性</w:t>
            </w:r>
          </w:p>
        </w:tc>
        <w:tc>
          <w:tcPr>
            <w:tcW w:w="677" w:type="dxa"/>
            <w:vAlign w:val="center"/>
          </w:tcPr>
          <w:p>
            <w:pPr>
              <w:autoSpaceDE w:val="0"/>
              <w:autoSpaceDN w:val="0"/>
              <w:adjustRightInd w:val="0"/>
              <w:spacing w:line="240" w:lineRule="exact"/>
              <w:jc w:val="both"/>
              <w:rPr>
                <w:rFonts w:hint="default" w:ascii="Times New Roman" w:hAnsi="Times New Roman" w:eastAsia="仿宋_GB2312" w:cs="Times New Roman"/>
                <w:b/>
                <w:bCs/>
                <w:lang w:val="en-US" w:eastAsia="zh-CN"/>
              </w:rPr>
            </w:pPr>
            <w:r>
              <w:rPr>
                <w:rFonts w:hint="eastAsia" w:eastAsia="仿宋_GB2312" w:cs="Times New Roman"/>
                <w:b/>
                <w:bCs/>
                <w:lang w:val="en-US" w:eastAsia="zh-CN"/>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GP2021</w:t>
            </w:r>
          </w:p>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w:t>
            </w:r>
            <w:bookmarkStart w:id="0" w:name="_GoBack"/>
            <w:bookmarkEnd w:id="0"/>
            <w:r>
              <w:rPr>
                <w:rFonts w:hint="eastAsia" w:ascii="仿宋_GB2312" w:hAnsi="仿宋_GB2312" w:eastAsia="仿宋_GB2312" w:cs="仿宋_GB2312"/>
                <w:szCs w:val="21"/>
                <w:highlight w:val="none"/>
                <w:lang w:val="en-US" w:eastAsia="zh-CN"/>
              </w:rPr>
              <w:t>54</w:t>
            </w:r>
          </w:p>
        </w:tc>
        <w:tc>
          <w:tcPr>
            <w:tcW w:w="60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惠州市惠城区鹿江沥南岸LJL-47-28地块</w:t>
            </w:r>
          </w:p>
        </w:tc>
        <w:tc>
          <w:tcPr>
            <w:tcW w:w="66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LJL-47-28</w:t>
            </w:r>
          </w:p>
        </w:tc>
        <w:tc>
          <w:tcPr>
            <w:tcW w:w="473" w:type="dxa"/>
            <w:tcMar>
              <w:left w:w="0" w:type="dxa"/>
              <w:right w:w="0" w:type="dxa"/>
            </w:tcMar>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城镇住宅及商</w:t>
            </w:r>
            <w:r>
              <w:rPr>
                <w:rFonts w:hint="eastAsia" w:ascii="仿宋_GB2312" w:hAnsi="仿宋_GB2312" w:eastAsia="仿宋_GB2312" w:cs="仿宋_GB2312"/>
                <w:color w:val="000000"/>
                <w:szCs w:val="21"/>
                <w:lang w:val="en-US" w:eastAsia="zh-CN"/>
              </w:rPr>
              <w:t>服</w:t>
            </w:r>
            <w:r>
              <w:rPr>
                <w:rFonts w:hint="eastAsia" w:ascii="仿宋_GB2312" w:hAnsi="仿宋_GB2312" w:eastAsia="仿宋_GB2312" w:cs="仿宋_GB2312"/>
                <w:color w:val="000000"/>
                <w:szCs w:val="21"/>
                <w:lang w:eastAsia="zh-CN"/>
              </w:rPr>
              <w:t>用地</w:t>
            </w:r>
          </w:p>
        </w:tc>
        <w:tc>
          <w:tcPr>
            <w:tcW w:w="1004"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37171.61㎡</w:t>
            </w:r>
          </w:p>
        </w:tc>
        <w:tc>
          <w:tcPr>
            <w:tcW w:w="100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32418.39㎡</w:t>
            </w:r>
          </w:p>
        </w:tc>
        <w:tc>
          <w:tcPr>
            <w:tcW w:w="772"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≤22%</w:t>
            </w:r>
          </w:p>
        </w:tc>
        <w:tc>
          <w:tcPr>
            <w:tcW w:w="64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≤2.9</w:t>
            </w:r>
          </w:p>
        </w:tc>
        <w:tc>
          <w:tcPr>
            <w:tcW w:w="1088"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≤107799</w:t>
            </w:r>
            <w:r>
              <w:rPr>
                <w:rFonts w:hint="eastAsia" w:ascii="仿宋_GB2312" w:hAnsi="仿宋_GB2312" w:eastAsia="仿宋_GB2312" w:cs="仿宋_GB2312"/>
                <w:color w:val="000000"/>
                <w:szCs w:val="21"/>
                <w:lang w:eastAsia="zh-CN"/>
              </w:rPr>
              <w:t>㎡（其中商业建筑面积</w:t>
            </w:r>
            <w:r>
              <w:rPr>
                <w:rFonts w:hint="eastAsia" w:ascii="仿宋_GB2312" w:hAnsi="仿宋_GB2312" w:eastAsia="仿宋_GB2312" w:cs="仿宋_GB2312"/>
                <w:color w:val="000000"/>
                <w:szCs w:val="21"/>
                <w:lang w:val="en-US" w:eastAsia="zh-CN"/>
              </w:rPr>
              <w:t>的比例≤5%</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配套</w:t>
            </w:r>
            <w:r>
              <w:rPr>
                <w:rFonts w:hint="eastAsia" w:ascii="仿宋_GB2312" w:hAnsi="仿宋_GB2312" w:eastAsia="仿宋_GB2312" w:cs="仿宋_GB2312"/>
                <w:color w:val="000000"/>
                <w:szCs w:val="21"/>
                <w:lang w:eastAsia="zh-CN"/>
              </w:rPr>
              <w:t>设施建筑面积</w:t>
            </w:r>
            <w:r>
              <w:rPr>
                <w:rFonts w:hint="eastAsia" w:ascii="仿宋_GB2312" w:hAnsi="仿宋_GB2312" w:eastAsia="仿宋_GB2312" w:cs="仿宋_GB2312"/>
                <w:color w:val="000000"/>
                <w:szCs w:val="21"/>
                <w:lang w:val="en-US" w:eastAsia="zh-CN"/>
              </w:rPr>
              <w:t>＞630㎡</w:t>
            </w:r>
            <w:r>
              <w:rPr>
                <w:rFonts w:hint="eastAsia" w:ascii="仿宋_GB2312" w:hAnsi="仿宋_GB2312" w:eastAsia="仿宋_GB2312" w:cs="仿宋_GB2312"/>
                <w:color w:val="000000"/>
                <w:szCs w:val="21"/>
                <w:lang w:eastAsia="zh-CN"/>
              </w:rPr>
              <w:t>）</w:t>
            </w:r>
          </w:p>
        </w:tc>
        <w:tc>
          <w:tcPr>
            <w:tcW w:w="945"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≥35</w:t>
            </w:r>
            <w:r>
              <w:rPr>
                <w:rFonts w:hint="eastAsia" w:ascii="仿宋_GB2312" w:hAnsi="仿宋_GB2312" w:eastAsia="仿宋_GB2312" w:cs="仿宋_GB2312"/>
                <w:color w:val="000000"/>
                <w:szCs w:val="21"/>
                <w:lang w:eastAsia="zh-CN"/>
              </w:rPr>
              <w:t>%</w:t>
            </w:r>
          </w:p>
        </w:tc>
        <w:tc>
          <w:tcPr>
            <w:tcW w:w="986"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每100㎡计容积率建筑面积</w:t>
            </w:r>
            <w:r>
              <w:rPr>
                <w:rFonts w:hint="eastAsia"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lang w:eastAsia="zh-CN"/>
              </w:rPr>
              <w:t>1个</w:t>
            </w:r>
          </w:p>
        </w:tc>
        <w:tc>
          <w:tcPr>
            <w:tcW w:w="741"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val="en-US" w:eastAsia="zh-CN"/>
              </w:rPr>
              <w:t>住宅</w:t>
            </w:r>
            <w:r>
              <w:rPr>
                <w:rFonts w:hint="eastAsia" w:ascii="仿宋_GB2312" w:hAnsi="仿宋_GB2312" w:eastAsia="仿宋_GB2312" w:cs="仿宋_GB2312"/>
                <w:color w:val="000000"/>
                <w:szCs w:val="21"/>
                <w:lang w:eastAsia="zh-CN"/>
              </w:rPr>
              <w:t>、商业及配套设施</w:t>
            </w:r>
          </w:p>
        </w:tc>
        <w:tc>
          <w:tcPr>
            <w:tcW w:w="677" w:type="dxa"/>
            <w:vAlign w:val="center"/>
          </w:tcPr>
          <w:p>
            <w:pPr>
              <w:spacing w:line="300" w:lineRule="exact"/>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szCs w:val="21"/>
                <w:lang w:eastAsia="zh-CN"/>
              </w:rPr>
              <w:t>城镇住宅用地</w:t>
            </w: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lang w:eastAsia="zh-CN"/>
              </w:rPr>
              <w:t>0年、商服用地40年</w:t>
            </w: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687A90"/>
    <w:rsid w:val="047C6F5A"/>
    <w:rsid w:val="069C76D6"/>
    <w:rsid w:val="07386886"/>
    <w:rsid w:val="07895069"/>
    <w:rsid w:val="07CF5BB3"/>
    <w:rsid w:val="07E97CE1"/>
    <w:rsid w:val="082B1937"/>
    <w:rsid w:val="09AD4D28"/>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2A781E"/>
    <w:rsid w:val="188D227F"/>
    <w:rsid w:val="192F711A"/>
    <w:rsid w:val="1A0B2C56"/>
    <w:rsid w:val="1AA5305E"/>
    <w:rsid w:val="1ADB0E54"/>
    <w:rsid w:val="1B9E531A"/>
    <w:rsid w:val="1C5904D7"/>
    <w:rsid w:val="1CD57BAD"/>
    <w:rsid w:val="1D7069CD"/>
    <w:rsid w:val="1DE30B94"/>
    <w:rsid w:val="1E862B6D"/>
    <w:rsid w:val="1F7C2358"/>
    <w:rsid w:val="1FB07F91"/>
    <w:rsid w:val="20ED2229"/>
    <w:rsid w:val="210A61AB"/>
    <w:rsid w:val="217817B2"/>
    <w:rsid w:val="22890C8D"/>
    <w:rsid w:val="23A027B1"/>
    <w:rsid w:val="24E51F89"/>
    <w:rsid w:val="25251515"/>
    <w:rsid w:val="27A65DB8"/>
    <w:rsid w:val="28774868"/>
    <w:rsid w:val="28C60AA0"/>
    <w:rsid w:val="2A6B42FA"/>
    <w:rsid w:val="2A870225"/>
    <w:rsid w:val="2AAC048C"/>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3FF04DBA"/>
    <w:rsid w:val="40231E47"/>
    <w:rsid w:val="40363F40"/>
    <w:rsid w:val="409256E4"/>
    <w:rsid w:val="409E7D83"/>
    <w:rsid w:val="40B33D72"/>
    <w:rsid w:val="411B39E1"/>
    <w:rsid w:val="414E681A"/>
    <w:rsid w:val="42CE6157"/>
    <w:rsid w:val="4333178A"/>
    <w:rsid w:val="43706132"/>
    <w:rsid w:val="44966F93"/>
    <w:rsid w:val="45C047BF"/>
    <w:rsid w:val="47AF3E70"/>
    <w:rsid w:val="495B6193"/>
    <w:rsid w:val="4A1228DB"/>
    <w:rsid w:val="4A1B1ECC"/>
    <w:rsid w:val="4AE74DD0"/>
    <w:rsid w:val="4C2E14D5"/>
    <w:rsid w:val="4C956C10"/>
    <w:rsid w:val="4CFF14D6"/>
    <w:rsid w:val="4D1610A1"/>
    <w:rsid w:val="4DF35994"/>
    <w:rsid w:val="4EC91786"/>
    <w:rsid w:val="4F861E18"/>
    <w:rsid w:val="512A0AC6"/>
    <w:rsid w:val="538C505C"/>
    <w:rsid w:val="540106D5"/>
    <w:rsid w:val="546946EF"/>
    <w:rsid w:val="565101CA"/>
    <w:rsid w:val="567F481B"/>
    <w:rsid w:val="5787561C"/>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3CE4A87"/>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74343F"/>
    <w:rsid w:val="77DD303C"/>
    <w:rsid w:val="782A0826"/>
    <w:rsid w:val="787C1591"/>
    <w:rsid w:val="79E82C45"/>
    <w:rsid w:val="7AD36021"/>
    <w:rsid w:val="7B832F79"/>
    <w:rsid w:val="7D060077"/>
    <w:rsid w:val="7E592347"/>
    <w:rsid w:val="7F252698"/>
    <w:rsid w:val="7F6B30B2"/>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2021-12-27T04:47:00Z</cp:lastPrinted>
  <dcterms:modified xsi:type="dcterms:W3CDTF">2021-12-27T09:50:44Z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