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网上挂牌</w:t>
      </w:r>
      <w:r>
        <w:rPr>
          <w:rFonts w:hint="eastAsia" w:ascii="方正小标宋简体" w:hAnsi="方正小标宋简体" w:eastAsia="方正小标宋简体" w:cs="方正小标宋简体"/>
          <w:b w:val="0"/>
          <w:bCs w:val="0"/>
          <w:sz w:val="44"/>
          <w:szCs w:val="44"/>
        </w:rPr>
        <w:t>出让</w:t>
      </w:r>
      <w:r>
        <w:rPr>
          <w:rFonts w:hint="eastAsia" w:ascii="方正小标宋简体" w:hAnsi="方正小标宋简体" w:eastAsia="方正小标宋简体" w:cs="方正小标宋简体"/>
          <w:b w:val="0"/>
          <w:bCs w:val="0"/>
          <w:spacing w:val="3"/>
          <w:sz w:val="44"/>
          <w:szCs w:val="44"/>
          <w:lang w:val="en-US" w:eastAsia="zh-CN"/>
        </w:rPr>
        <w:t>须知</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p>
    <w:p>
      <w:pPr>
        <w:rPr>
          <w:rFonts w:hint="eastAsia" w:ascii="仿宋_GB2312" w:hAnsi="仿宋_GB2312" w:eastAsia="仿宋_GB2312" w:cs="仿宋_GB2312"/>
          <w:sz w:val="32"/>
          <w:szCs w:val="32"/>
        </w:rPr>
      </w:pP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）地块位置：惠州市惠城区金龙大道东南片区JBD57-07地块;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（三）用地编号：JBD57-07;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w:t>
      </w:r>
      <w:r>
        <w:rPr>
          <w:rFonts w:hint="eastAsia" w:ascii="仿宋_GB2312" w:hAnsi="仿宋_GB2312" w:eastAsia="仿宋_GB2312" w:cs="仿宋_GB2312"/>
          <w:color w:val="auto"/>
          <w:kern w:val="2"/>
          <w:sz w:val="32"/>
          <w:szCs w:val="32"/>
          <w:highlight w:val="none"/>
        </w:rPr>
        <w:t>平面界址点以宗地图为准，宗地竖向界限以《规划设计条件告知书》（案卷编号：PB202100</w:t>
      </w:r>
      <w:r>
        <w:rPr>
          <w:rFonts w:hint="eastAsia" w:ascii="仿宋_GB2312" w:hAnsi="仿宋_GB2312" w:eastAsia="仿宋_GB2312" w:cs="仿宋_GB2312"/>
          <w:color w:val="auto"/>
          <w:kern w:val="2"/>
          <w:sz w:val="32"/>
          <w:szCs w:val="32"/>
          <w:highlight w:val="none"/>
          <w:lang w:val="en-US" w:eastAsia="zh-CN"/>
        </w:rPr>
        <w:t>60</w:t>
      </w:r>
      <w:r>
        <w:rPr>
          <w:rFonts w:hint="eastAsia" w:ascii="仿宋_GB2312" w:hAnsi="仿宋_GB2312" w:eastAsia="仿宋_GB2312" w:cs="仿宋_GB2312"/>
          <w:color w:val="auto"/>
          <w:kern w:val="2"/>
          <w:sz w:val="32"/>
          <w:szCs w:val="32"/>
          <w:highlight w:val="none"/>
        </w:rPr>
        <w:t>）规定为准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宗地使用权面积为：12514.59平方米；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（六）计算指标用地面积为：16929.7平方米；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（七）计容积率建筑面积为：≤52483㎡（其中商业、商务金融建筑面积的比例6-10%，配套设施建筑面积＞195㎡）；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（八）容积率为：≤3.1；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（九）建筑密度为：≤30%（其中住宅建筑净密度≤22%；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十）绿地率为：≥30％；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eastAsia="zh-CN"/>
        </w:rPr>
        <w:t>：每100㎡计容积率面积≥1个；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highlight w:val="none"/>
        </w:rPr>
        <w:t>：城镇住宅</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商服用地；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）土地使用权出让年期为：住宅70年、商服40年；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）适建性：住宅、商业、商务金融及配套设施；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正本</w:t>
      </w:r>
      <w:r>
        <w:rPr>
          <w:rFonts w:hint="eastAsia" w:ascii="仿宋_GB2312" w:hAnsi="仿宋_GB2312" w:eastAsia="仿宋_GB2312" w:cs="仿宋_GB2312"/>
          <w:sz w:val="32"/>
          <w:szCs w:val="32"/>
          <w:lang w:eastAsia="zh-CN"/>
        </w:rPr>
        <w:t>）和地价款交款凭证等</w:t>
      </w:r>
      <w:r>
        <w:rPr>
          <w:rFonts w:hint="eastAsia" w:ascii="仿宋_GB2312" w:hAnsi="仿宋_GB2312" w:eastAsia="仿宋_GB2312" w:cs="仿宋_GB2312"/>
          <w:sz w:val="32"/>
          <w:szCs w:val="32"/>
        </w:rPr>
        <w:t>申请办理土地初始登记，领取《不动产权证书》。</w:t>
      </w:r>
      <w:r>
        <w:rPr>
          <w:rFonts w:hint="default" w:ascii="Times New Roman" w:hAnsi="Times New Roman" w:eastAsia="仿宋_GB2312" w:cs="Times New Roman"/>
          <w:sz w:val="32"/>
          <w:szCs w:val="32"/>
        </w:rPr>
        <w:t xml:space="preserve"> </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color w:val="auto"/>
          <w:kern w:val="2"/>
          <w:sz w:val="32"/>
          <w:szCs w:val="32"/>
          <w:highlight w:val="none"/>
          <w:lang w:val="en-US" w:eastAsia="zh-CN"/>
        </w:rPr>
        <w:t>48050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kern w:val="2"/>
          <w:sz w:val="32"/>
          <w:szCs w:val="32"/>
          <w:lang w:val="en-US" w:eastAsia="zh-CN" w:bidi="ar-SA"/>
        </w:rPr>
        <w:t>竞得人在用</w:t>
      </w:r>
      <w:r>
        <w:rPr>
          <w:rFonts w:hint="eastAsia" w:ascii="仿宋_GB2312" w:hAnsi="仿宋_GB2312" w:eastAsia="仿宋_GB2312" w:cs="仿宋_GB2312"/>
          <w:kern w:val="2"/>
          <w:sz w:val="32"/>
          <w:szCs w:val="32"/>
        </w:rPr>
        <w:t>地红线内开发建设必须符合城市规划要求，必须按《</w:t>
      </w:r>
      <w:r>
        <w:rPr>
          <w:rFonts w:hint="eastAsia" w:ascii="仿宋_GB2312" w:hAnsi="仿宋_GB2312" w:eastAsia="仿宋_GB2312" w:cs="仿宋_GB2312"/>
          <w:kern w:val="2"/>
          <w:sz w:val="32"/>
          <w:szCs w:val="32"/>
          <w:lang w:val="en-US" w:eastAsia="zh-CN"/>
        </w:rPr>
        <w:t>规划设计条件</w:t>
      </w:r>
      <w:r>
        <w:rPr>
          <w:rFonts w:hint="eastAsia" w:ascii="仿宋_GB2312" w:hAnsi="仿宋_GB2312" w:eastAsia="仿宋_GB2312" w:cs="仿宋_GB2312"/>
          <w:kern w:val="2"/>
          <w:sz w:val="32"/>
          <w:szCs w:val="32"/>
        </w:rPr>
        <w:t>告知书》（案卷编号：</w:t>
      </w:r>
      <w:r>
        <w:rPr>
          <w:rFonts w:hint="eastAsia" w:ascii="仿宋_GB2312" w:hAnsi="仿宋_GB2312" w:eastAsia="仿宋_GB2312" w:cs="仿宋_GB2312"/>
          <w:kern w:val="2"/>
          <w:sz w:val="32"/>
          <w:szCs w:val="32"/>
          <w:lang w:eastAsia="zh-CN"/>
        </w:rPr>
        <w:t>PB20210060</w:t>
      </w:r>
      <w:r>
        <w:rPr>
          <w:rFonts w:hint="eastAsia" w:ascii="仿宋_GB2312" w:hAnsi="仿宋_GB2312" w:eastAsia="仿宋_GB2312" w:cs="仿宋_GB2312"/>
          <w:kern w:val="2"/>
          <w:sz w:val="32"/>
          <w:szCs w:val="32"/>
        </w:rPr>
        <w:t>）规划控制指标要求及有关规定进行规划设计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color w:val="auto"/>
          <w:sz w:val="32"/>
          <w:szCs w:val="32"/>
          <w:highlight w:val="none"/>
        </w:rPr>
        <w:t>该地块所建单套毛坯</w:t>
      </w:r>
      <w:r>
        <w:rPr>
          <w:rFonts w:hint="eastAsia" w:ascii="仿宋_GB2312" w:hAnsi="仿宋_GB2312" w:eastAsia="仿宋_GB2312" w:cs="仿宋_GB2312"/>
          <w:color w:val="auto"/>
          <w:sz w:val="32"/>
          <w:szCs w:val="32"/>
          <w:highlight w:val="none"/>
          <w:lang w:val="en-US" w:eastAsia="zh-CN"/>
        </w:rPr>
        <w:t>商品住宅</w:t>
      </w:r>
      <w:r>
        <w:rPr>
          <w:rFonts w:hint="eastAsia" w:ascii="仿宋_GB2312" w:hAnsi="仿宋_GB2312" w:eastAsia="仿宋_GB2312" w:cs="仿宋_GB2312"/>
          <w:color w:val="auto"/>
          <w:sz w:val="32"/>
          <w:szCs w:val="32"/>
          <w:highlight w:val="none"/>
        </w:rPr>
        <w:t>销售单价</w:t>
      </w:r>
      <w:r>
        <w:rPr>
          <w:rFonts w:hint="eastAsia" w:ascii="仿宋_GB2312" w:hAnsi="仿宋_GB2312" w:eastAsia="仿宋_GB2312" w:cs="仿宋_GB2312"/>
          <w:color w:val="auto"/>
          <w:sz w:val="32"/>
          <w:szCs w:val="32"/>
          <w:highlight w:val="none"/>
          <w:lang w:val="en-US" w:eastAsia="zh-CN"/>
        </w:rPr>
        <w:t>不高于19008</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kern w:val="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sz w:val="32"/>
          <w:szCs w:val="32"/>
        </w:rPr>
        <w:t>竞得人须按《</w:t>
      </w:r>
      <w:r>
        <w:rPr>
          <w:rFonts w:hint="eastAsia" w:ascii="仿宋_GB2312" w:hAnsi="仿宋_GB2312" w:eastAsia="仿宋_GB2312" w:cs="仿宋_GB2312"/>
          <w:kern w:val="2"/>
          <w:sz w:val="32"/>
          <w:szCs w:val="32"/>
          <w:lang w:val="en-US" w:eastAsia="zh-CN"/>
        </w:rPr>
        <w:t>规划设计条件</w:t>
      </w:r>
      <w:r>
        <w:rPr>
          <w:rFonts w:hint="eastAsia" w:ascii="仿宋_GB2312" w:hAnsi="仿宋_GB2312" w:eastAsia="仿宋_GB2312" w:cs="仿宋_GB2312"/>
          <w:kern w:val="2"/>
          <w:sz w:val="32"/>
          <w:szCs w:val="32"/>
        </w:rPr>
        <w:t>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eastAsia="zh-CN"/>
        </w:rPr>
        <w:t>PB20210060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要求配建相关配套设施</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（七）</w:t>
      </w:r>
      <w:r>
        <w:rPr>
          <w:rFonts w:hint="default" w:ascii="Times New Roman" w:hAnsi="Times New Roman" w:eastAsia="仿宋_GB2312" w:cs="Times New Roman"/>
          <w:color w:val="auto"/>
          <w:kern w:val="2"/>
          <w:sz w:val="32"/>
          <w:szCs w:val="32"/>
          <w:highlight w:val="none"/>
        </w:rPr>
        <w:t>竞得人须配建总建筑面积不低于5000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r>
        <w:rPr>
          <w:rFonts w:hint="eastAsia" w:ascii="仿宋_GB2312" w:hAnsi="仿宋_GB2312" w:eastAsia="仿宋_GB2312" w:cs="仿宋_GB2312"/>
          <w:sz w:val="32"/>
          <w:szCs w:val="32"/>
          <w:lang w:val="en-US"/>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highlight w:val="none"/>
        </w:rPr>
        <w:t>：</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color w:val="auto"/>
          <w:kern w:val="2"/>
          <w:sz w:val="32"/>
          <w:szCs w:val="32"/>
          <w:highlight w:val="none"/>
          <w:lang w:val="en-US" w:eastAsia="zh-CN"/>
        </w:rPr>
        <w:t>9687</w:t>
      </w:r>
      <w:r>
        <w:rPr>
          <w:rFonts w:hint="eastAsia" w:ascii="仿宋_GB2312" w:hAnsi="仿宋_GB2312" w:eastAsia="仿宋_GB2312" w:cs="仿宋_GB2312"/>
          <w:kern w:val="0"/>
          <w:sz w:val="32"/>
          <w:szCs w:val="32"/>
        </w:rPr>
        <w:t>万元人民币，如以外币缴交竞买保证金的，须缴交美元</w:t>
      </w:r>
      <w:r>
        <w:rPr>
          <w:rFonts w:hint="eastAsia" w:ascii="仿宋_GB2312" w:hAnsi="仿宋_GB2312" w:eastAsia="仿宋_GB2312" w:cs="仿宋_GB2312"/>
          <w:color w:val="auto"/>
          <w:kern w:val="2"/>
          <w:sz w:val="32"/>
          <w:szCs w:val="32"/>
          <w:highlight w:val="none"/>
          <w:lang w:val="en-US" w:eastAsia="zh-CN"/>
        </w:rPr>
        <w:t>1498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color w:val="auto"/>
          <w:kern w:val="2"/>
          <w:sz w:val="32"/>
          <w:szCs w:val="32"/>
          <w:highlight w:val="none"/>
          <w:lang w:val="en-US" w:eastAsia="zh-CN"/>
        </w:rPr>
        <w:t>11648</w:t>
      </w:r>
      <w:r>
        <w:rPr>
          <w:rFonts w:hint="eastAsia" w:ascii="仿宋_GB2312" w:hAnsi="仿宋_GB2312" w:eastAsia="仿宋_GB2312" w:cs="仿宋_GB2312"/>
          <w:kern w:val="0"/>
          <w:sz w:val="32"/>
          <w:szCs w:val="32"/>
        </w:rPr>
        <w:t>万元。</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 xml:space="preserve"> 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（一）不符合竞买资格条件的。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七、网上挂牌出让地块的起始价、增</w:t>
      </w:r>
      <w:r>
        <w:rPr>
          <w:rFonts w:hint="eastAsia" w:ascii="仿宋_GB2312" w:hAnsi="仿宋_GB2312" w:eastAsia="仿宋_GB2312" w:cs="仿宋_GB2312"/>
          <w:b/>
          <w:bCs/>
          <w:sz w:val="32"/>
          <w:szCs w:val="32"/>
          <w:lang w:val="en-US" w:eastAsia="zh-CN"/>
        </w:rPr>
        <w:t>价</w:t>
      </w:r>
      <w:r>
        <w:rPr>
          <w:rFonts w:hint="eastAsia" w:ascii="仿宋_GB2312" w:hAnsi="仿宋_GB2312" w:eastAsia="仿宋_GB2312" w:cs="仿宋_GB2312"/>
          <w:b/>
          <w:bCs/>
          <w:sz w:val="32"/>
          <w:szCs w:val="32"/>
        </w:rPr>
        <w:t>幅度</w:t>
      </w:r>
    </w:p>
    <w:p>
      <w:pPr>
        <w:tabs>
          <w:tab w:val="left" w:pos="3388"/>
        </w:tabs>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叁亿贰仟贰佰玖拾万</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32290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tabs>
          <w:tab w:val="left" w:pos="3388"/>
        </w:tabs>
        <w:spacing w:line="560" w:lineRule="exact"/>
        <w:jc w:val="left"/>
        <w:rPr>
          <w:rFonts w:hint="eastAsia"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日9时。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日10时。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《规划设计条件</w:t>
      </w:r>
      <w:r>
        <w:rPr>
          <w:rFonts w:hint="eastAsia" w:ascii="仿宋_GB2312" w:hAnsi="仿宋_GB2312" w:eastAsia="仿宋_GB2312" w:cs="仿宋_GB2312"/>
          <w:sz w:val="32"/>
          <w:szCs w:val="32"/>
          <w:lang w:val="en-US" w:eastAsia="zh-CN"/>
        </w:rPr>
        <w:t>告知书</w:t>
      </w:r>
      <w:r>
        <w:rPr>
          <w:rFonts w:hint="eastAsia" w:ascii="仿宋_GB2312" w:hAnsi="仿宋_GB2312" w:eastAsia="仿宋_GB2312" w:cs="仿宋_GB2312"/>
          <w:sz w:val="32"/>
          <w:szCs w:val="32"/>
        </w:rPr>
        <w:t>》（案卷编号：PB20210060）；</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rPr>
      </w:pPr>
      <w:bookmarkStart w:id="4" w:name="103"/>
      <w:bookmarkEnd w:id="4"/>
      <w:r>
        <w:rPr>
          <w:rFonts w:hint="default" w:ascii="Times New Roman" w:hAnsi="Times New Roman" w:eastAsia="仿宋_GB2312" w:cs="Times New Roman"/>
          <w:b/>
          <w:bCs/>
          <w:sz w:val="32"/>
          <w:szCs w:val="32"/>
        </w:rPr>
        <w:t xml:space="preserve"> </w:t>
      </w:r>
      <w:r>
        <w:rPr>
          <w:rFonts w:hint="eastAsia" w:ascii="仿宋_GB2312" w:hAnsi="仿宋_GB2312" w:eastAsia="仿宋_GB2312" w:cs="仿宋_GB2312"/>
          <w:b/>
          <w:bCs/>
          <w:sz w:val="32"/>
          <w:szCs w:val="32"/>
        </w:rPr>
        <w:t>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玖仟陆佰捌拾柒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9687</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壹仟肆佰玖拾捌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USD</w:t>
      </w:r>
      <w:r>
        <w:rPr>
          <w:rFonts w:hint="eastAsia" w:ascii="仿宋_GB2312" w:hAnsi="仿宋_GB2312" w:eastAsia="仿宋_GB2312" w:cs="仿宋_GB2312"/>
          <w:sz w:val="32"/>
          <w:szCs w:val="32"/>
          <w:u w:val="single"/>
          <w:lang w:val="en-US" w:eastAsia="zh-CN"/>
        </w:rPr>
        <w:t>1498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或港</w:t>
      </w:r>
      <w:r>
        <w:rPr>
          <w:rFonts w:hint="eastAsia" w:ascii="仿宋_GB2312" w:hAnsi="仿宋_GB2312" w:eastAsia="仿宋_GB2312" w:cs="仿宋_GB2312"/>
          <w:sz w:val="32"/>
          <w:szCs w:val="32"/>
          <w:lang w:val="en-US" w:eastAsia="zh-CN"/>
        </w:rPr>
        <w:t>币</w:t>
      </w:r>
      <w:r>
        <w:rPr>
          <w:rFonts w:hint="eastAsia" w:ascii="仿宋_GB2312" w:hAnsi="仿宋_GB2312" w:eastAsia="仿宋_GB2312" w:cs="仿宋_GB2312"/>
          <w:sz w:val="32"/>
          <w:szCs w:val="32"/>
          <w:u w:val="single"/>
          <w:lang w:val="en-US" w:eastAsia="zh-CN"/>
        </w:rPr>
        <w:t>壹亿壹仟陆佰肆拾捌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HKD</w:t>
      </w:r>
      <w:r>
        <w:rPr>
          <w:rFonts w:hint="eastAsia" w:ascii="仿宋_GB2312" w:hAnsi="仿宋_GB2312" w:eastAsia="仿宋_GB2312" w:cs="仿宋_GB2312"/>
          <w:sz w:val="32"/>
          <w:szCs w:val="32"/>
          <w:u w:val="single"/>
        </w:rPr>
        <w:t>11648</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default" w:ascii="Times New Roman" w:hAnsi="Times New Roman" w:cs="Times New Roman"/>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中信银行股份有限公司惠州分行。(备注:中信银行股份有限公司惠州分行本行转</w:t>
      </w:r>
      <w:r>
        <w:rPr>
          <w:rFonts w:hint="eastAsia" w:ascii="仿宋_GB2312" w:hAnsi="仿宋_GB2312" w:eastAsia="仿宋_GB2312" w:cs="仿宋_GB2312"/>
          <w:kern w:val="2"/>
          <w:sz w:val="32"/>
          <w:szCs w:val="32"/>
          <w:lang w:val="en-US" w:eastAsia="zh-CN" w:bidi="ar-SA"/>
        </w:rPr>
        <w:t>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hint="eastAsia"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网上报价及“限地价、</w:t>
      </w:r>
      <w:r>
        <w:rPr>
          <w:rFonts w:hint="eastAsia" w:ascii="仿宋_GB2312" w:hAnsi="仿宋_GB2312" w:eastAsia="仿宋_GB2312" w:cs="仿宋_GB2312"/>
          <w:b/>
          <w:bCs/>
          <w:sz w:val="32"/>
          <w:szCs w:val="32"/>
          <w:lang w:val="en-US" w:eastAsia="zh-CN"/>
        </w:rPr>
        <w:t>摇号</w:t>
      </w:r>
      <w:r>
        <w:rPr>
          <w:rFonts w:hint="eastAsia" w:ascii="仿宋_GB2312" w:hAnsi="仿宋_GB2312" w:eastAsia="仿宋_GB2312" w:cs="仿宋_GB2312"/>
          <w:b/>
          <w:bCs/>
          <w:sz w:val="32"/>
          <w:szCs w:val="32"/>
        </w:rPr>
        <w:t>”规则</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（一）本宗建设用地使用权网上挂牌采取“限地价、</w:t>
      </w:r>
      <w:r>
        <w:rPr>
          <w:rFonts w:hint="eastAsia" w:ascii="仿宋_GB2312" w:hAnsi="仿宋_GB2312" w:eastAsia="仿宋_GB2312" w:cs="仿宋_GB2312"/>
          <w:sz w:val="32"/>
          <w:szCs w:val="32"/>
          <w:lang w:val="en-US" w:eastAsia="zh-CN"/>
        </w:rPr>
        <w:t>摇号</w:t>
      </w:r>
      <w:r>
        <w:rPr>
          <w:rFonts w:hint="eastAsia" w:ascii="仿宋_GB2312" w:hAnsi="仿宋_GB2312" w:eastAsia="仿宋_GB2312" w:cs="仿宋_GB2312"/>
          <w:sz w:val="32"/>
          <w:szCs w:val="32"/>
        </w:rPr>
        <w:t>”出让方式，竞买人以增价方式通过网上挂牌交易系统进行报价，当报价达到最高限价时，交易系统转入</w:t>
      </w:r>
      <w:r>
        <w:rPr>
          <w:rFonts w:hint="eastAsia" w:ascii="仿宋_GB2312" w:hAnsi="仿宋_GB2312" w:eastAsia="仿宋_GB2312" w:cs="仿宋_GB2312"/>
          <w:sz w:val="32"/>
          <w:szCs w:val="32"/>
          <w:lang w:val="en-US" w:eastAsia="zh-CN"/>
        </w:rPr>
        <w:t>采取摇号方式确定</w:t>
      </w:r>
      <w:r>
        <w:rPr>
          <w:rFonts w:hint="eastAsia" w:ascii="仿宋_GB2312" w:hAnsi="仿宋_GB2312" w:eastAsia="仿宋_GB2312" w:cs="仿宋_GB2312"/>
          <w:sz w:val="32"/>
          <w:szCs w:val="32"/>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（二）每次</w:t>
      </w:r>
      <w:r>
        <w:rPr>
          <w:rFonts w:hint="eastAsia" w:ascii="仿宋_GB2312" w:hAnsi="仿宋_GB2312" w:eastAsia="仿宋_GB2312" w:cs="仿宋_GB2312"/>
          <w:sz w:val="32"/>
          <w:szCs w:val="32"/>
          <w:lang w:val="en-US" w:eastAsia="zh-CN"/>
        </w:rPr>
        <w:t>增价</w:t>
      </w:r>
      <w:r>
        <w:rPr>
          <w:rFonts w:hint="eastAsia" w:ascii="仿宋_GB2312" w:hAnsi="仿宋_GB2312" w:eastAsia="仿宋_GB2312" w:cs="仿宋_GB2312"/>
          <w:sz w:val="32"/>
          <w:szCs w:val="32"/>
        </w:rPr>
        <w:t>幅度</w:t>
      </w:r>
      <w:r>
        <w:rPr>
          <w:rFonts w:hint="eastAsia" w:ascii="仿宋_GB2312" w:hAnsi="仿宋_GB2312" w:eastAsia="仿宋_GB2312" w:cs="仿宋_GB2312"/>
          <w:sz w:val="32"/>
          <w:szCs w:val="32"/>
          <w:lang w:val="en-US" w:eastAsia="zh-CN"/>
        </w:rPr>
        <w:t>应是本须知规定的增价幅度的整数倍</w:t>
      </w:r>
      <w:r>
        <w:rPr>
          <w:rFonts w:hint="eastAsia" w:ascii="仿宋_GB2312" w:hAnsi="仿宋_GB2312" w:eastAsia="仿宋_GB2312" w:cs="仿宋_GB2312"/>
          <w:sz w:val="32"/>
          <w:szCs w:val="32"/>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（五）竞买人应当谨慎报价，报价一经提交并经网上挂牌</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系统确认为有效报价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报价不能高于最高限价</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不同竞买人均可报最高限价</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进入限时竞价，限时竞价中</w:t>
      </w:r>
      <w:r>
        <w:rPr>
          <w:rFonts w:hint="eastAsia" w:ascii="仿宋_GB2312" w:hAnsi="仿宋_GB2312" w:eastAsia="仿宋_GB2312" w:cs="仿宋_GB2312"/>
          <w:sz w:val="32"/>
          <w:szCs w:val="32"/>
        </w:rPr>
        <w:t>最高报价达到最高限价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只有</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竞买人报最高限价，该报价者为竞得人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lang w:eastAsia="zh-CN"/>
        </w:rPr>
      </w:pPr>
      <w:r>
        <w:rPr>
          <w:rFonts w:hint="eastAsia" w:ascii="仿宋_GB2312" w:hAnsi="仿宋_GB2312" w:eastAsia="仿宋_GB2312" w:cs="仿宋_GB2312"/>
          <w:sz w:val="32"/>
          <w:szCs w:val="32"/>
          <w:highlight w:val="none"/>
          <w:lang w:val="en-US" w:eastAsia="zh-CN"/>
        </w:rPr>
        <w:t>（11）购地资金来源相应证明及承诺书。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上述文件中，申请书必须用中文书写，其他文件可以使用</w:t>
      </w:r>
      <w:r>
        <w:rPr>
          <w:rFonts w:hint="eastAsia" w:ascii="仿宋_GB2312" w:hAnsi="仿宋_GB2312" w:eastAsia="仿宋_GB2312" w:cs="仿宋_GB2312"/>
          <w:b/>
          <w:bCs/>
          <w:color w:val="auto"/>
          <w:sz w:val="32"/>
          <w:szCs w:val="32"/>
        </w:rPr>
        <w:t>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本次国有建设用地使用权网上挂牌竞价达到37130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转为采</w:t>
      </w:r>
      <w:r>
        <w:rPr>
          <w:rFonts w:hint="eastAsia" w:ascii="仿宋_GB2312" w:hAnsi="仿宋_GB2312" w:eastAsia="仿宋_GB2312" w:cs="仿宋_GB2312"/>
          <w:sz w:val="32"/>
          <w:szCs w:val="32"/>
          <w:highlight w:val="none"/>
          <w:lang w:val="en-US" w:eastAsia="zh-CN"/>
        </w:rPr>
        <w:t>取</w:t>
      </w:r>
      <w:r>
        <w:rPr>
          <w:rFonts w:hint="eastAsia" w:ascii="仿宋_GB2312" w:hAnsi="仿宋_GB2312" w:eastAsia="仿宋_GB2312" w:cs="仿宋_GB2312"/>
          <w:sz w:val="32"/>
          <w:szCs w:val="32"/>
          <w:highlight w:val="none"/>
        </w:rPr>
        <w:t>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w:t>
      </w:r>
      <w:r>
        <w:rPr>
          <w:rFonts w:hint="default" w:ascii="仿宋_GB2312" w:hAnsi="仿宋_GB2312" w:eastAsia="仿宋_GB2312" w:cs="仿宋_GB2312"/>
          <w:sz w:val="32"/>
          <w:szCs w:val="32"/>
          <w:highlight w:val="none"/>
          <w:lang w:val="en-US" w:eastAsia="zh-CN"/>
        </w:rPr>
        <w:t>补充条款</w:t>
      </w:r>
      <w:r>
        <w:rPr>
          <w:rFonts w:hint="default" w:ascii="仿宋_GB2312" w:hAnsi="仿宋_GB2312" w:eastAsia="仿宋_GB2312" w:cs="仿宋_GB2312"/>
          <w:sz w:val="32"/>
          <w:szCs w:val="32"/>
          <w:highlight w:val="none"/>
        </w:rPr>
        <w:t>；也可按约定直接与新公司签订《出让合同》</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通过资格审查的，未竞得人缴纳的竞买保证金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p>
      <w:bookmarkStart w:id="8" w:name="_GoBack"/>
      <w:bookmarkEnd w:id="8"/>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26CF0"/>
    <w:rsid w:val="0922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2021-11-11T03:35:00Z</dcterms:created>
  <dc:creator>Luoyi</dc:creator>
  <cp:lastModifiedBy>Luoyi</cp:lastModifiedBy>
  <dcterms:modified xsi:type="dcterms:W3CDTF">2021-11-11T03:36:27Z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