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highlight w:val="none"/>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highlight w:val="none"/>
        </w:rPr>
      </w:pPr>
      <w:r>
        <w:rPr>
          <w:rFonts w:hint="eastAsia" w:ascii="方正小标宋_GBK" w:hAnsi="华文中宋" w:eastAsia="方正小标宋_GBK"/>
          <w:b/>
          <w:bCs/>
          <w:spacing w:val="3"/>
          <w:sz w:val="44"/>
          <w:szCs w:val="44"/>
          <w:highlight w:val="none"/>
        </w:rPr>
        <w:t>惠州市国有建设用地使用权网上挂牌</w:t>
      </w:r>
      <w:r>
        <w:rPr>
          <w:rFonts w:hint="eastAsia" w:ascii="方正小标宋_GBK" w:hAnsi="华文中宋" w:eastAsia="方正小标宋_GBK"/>
          <w:b/>
          <w:bCs/>
          <w:sz w:val="44"/>
          <w:szCs w:val="44"/>
          <w:highlight w:val="none"/>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044</w:t>
      </w:r>
      <w:r>
        <w:rPr>
          <w:rFonts w:hint="eastAsia" w:ascii="仿宋_GB2312" w:hAnsi="仿宋_GB2312" w:eastAsia="仿宋_GB2312" w:cs="仿宋_GB2312"/>
          <w:sz w:val="32"/>
          <w:szCs w:val="32"/>
          <w:highlight w:val="none"/>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、网上挂牌竞买时间为2021年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eastAsia="zh-CN"/>
        </w:rPr>
        <w:t>日9时至2021年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日10时。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三、挂牌起始价为人民币46600万元,每次报价加价幅度为人民币500万元的整数倍</w:t>
      </w:r>
      <w:r>
        <w:rPr>
          <w:rFonts w:hint="eastAsia" w:ascii="仿宋_GB2312" w:hAnsi="仿宋_GB2312" w:eastAsia="仿宋_GB2312" w:cs="仿宋_GB2312"/>
          <w:sz w:val="32"/>
          <w:szCs w:val="32"/>
          <w:highlight w:val="none"/>
        </w:rPr>
        <w:t>。</w:t>
      </w:r>
    </w:p>
    <w:p>
      <w:pPr>
        <w:spacing w:line="520" w:lineRule="exact"/>
        <w:ind w:firstLine="720" w:firstLineChars="22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竞买资格及要求</w:t>
      </w:r>
    </w:p>
    <w:p>
      <w:pPr>
        <w:spacing w:line="520" w:lineRule="exact"/>
        <w:ind w:firstLine="720" w:firstLineChars="22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r>
        <w:rPr>
          <w:rFonts w:hint="eastAsia" w:ascii="仿宋_GB2312" w:hAnsi="仿宋_GB2312" w:eastAsia="仿宋_GB2312" w:cs="仿宋_GB2312"/>
          <w:sz w:val="3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1、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2、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ascii="仿宋_GB2312" w:hAnsi="仿宋_GB2312" w:eastAsia="仿宋_GB2312" w:cs="仿宋_GB2312"/>
          <w:szCs w:val="32"/>
          <w:highlight w:val="none"/>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二</w:t>
      </w:r>
      <w:r>
        <w:rPr>
          <w:rFonts w:hint="eastAsia" w:ascii="仿宋_GB2312" w:hAnsi="仿宋_GB2312" w:eastAsia="仿宋_GB2312" w:cs="仿宋_GB2312"/>
          <w:kern w:val="2"/>
          <w:sz w:val="32"/>
          <w:szCs w:val="32"/>
          <w:highlight w:val="none"/>
          <w:lang w:val="en-US" w:eastAsia="zh-CN" w:bidi="ar-SA"/>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网上挂牌交易结束后提交相应证明并对上述要求作出承诺</w:t>
      </w:r>
      <w:r>
        <w:rPr>
          <w:rFonts w:hint="default" w:ascii="仿宋_GB2312" w:hAnsi="仿宋_GB2312" w:eastAsia="仿宋_GB2312" w:cs="仿宋_GB2312"/>
          <w:szCs w:val="32"/>
          <w:highlight w:val="none"/>
          <w:lang w:val="en-US" w:eastAsia="zh-CN"/>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pStyle w:val="4"/>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五</w:t>
      </w:r>
      <w:r>
        <w:rPr>
          <w:rFonts w:hint="eastAsia" w:ascii="仿宋_GB2312" w:hAnsi="仿宋_GB2312" w:eastAsia="仿宋_GB2312" w:cs="仿宋_GB2312"/>
          <w:szCs w:val="32"/>
          <w:highlight w:val="none"/>
        </w:rPr>
        <w:t>、该宗地竞买保证金可用人民币及外币（暂限于美元、港币）支付</w:t>
      </w:r>
      <w:r>
        <w:rPr>
          <w:rFonts w:hint="eastAsia" w:ascii="仿宋_GB2312" w:hAnsi="仿宋_GB2312" w:eastAsia="仿宋_GB2312" w:cs="仿宋_GB2312"/>
          <w:szCs w:val="32"/>
          <w:highlight w:val="none"/>
          <w:lang w:eastAsia="zh-CN"/>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lang w:val="en-US" w:eastAsia="zh-CN"/>
        </w:rPr>
        <w:t>六</w:t>
      </w:r>
      <w:r>
        <w:rPr>
          <w:rFonts w:hint="eastAsia" w:ascii="仿宋_GB2312" w:hAnsi="仿宋_GB2312" w:eastAsia="仿宋_GB2312" w:cs="仿宋_GB2312"/>
          <w:szCs w:val="32"/>
          <w:highlight w:val="none"/>
        </w:rPr>
        <w:t>、申请人应具备的其他条件：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一）缴交竞买保证金13980万元人民币，如以外币缴交竞买保证金的，须缴交美元2167万元、港币16863万元</w:t>
      </w:r>
      <w:r>
        <w:rPr>
          <w:rFonts w:hint="eastAsia" w:ascii="仿宋_GB2312" w:hAnsi="仿宋_GB2312" w:eastAsia="仿宋_GB2312" w:cs="仿宋_GB2312"/>
          <w:szCs w:val="32"/>
          <w:highlight w:val="none"/>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（二）存在下列违法违规违约行为之一的企业及其控股股东，不得参与竞买上述地块：</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1、存在伪造公文骗取用地和非法倒卖土地等犯罪行为的；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2、存在非法转让土地使用权等违法行为的；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3、因企业原因造成土地闲置一年以上且至报名日止未处罚完结的；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4、开发建设企业有违背出让合同约定条件开发利用土地情形且至报名日止未处罚完结的；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5、至报名日止仍拖欠政府地价款的;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6、被列入问题楼盘开发企业黑名单的;</w:t>
      </w:r>
    </w:p>
    <w:p>
      <w:pPr>
        <w:keepNext w:val="0"/>
        <w:keepLines w:val="0"/>
        <w:pageBreakBefore w:val="0"/>
        <w:kinsoku/>
        <w:wordWrap/>
        <w:overflowPunct/>
        <w:topLinePunct w:val="0"/>
        <w:autoSpaceDE/>
        <w:autoSpaceDN/>
        <w:bidi w:val="0"/>
        <w:spacing w:line="640" w:lineRule="atLeast"/>
        <w:ind w:firstLine="627" w:firstLineChars="196"/>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7、购地资金超过“三道红线”，存在重大失信行为的</w:t>
      </w:r>
      <w:r>
        <w:rPr>
          <w:rFonts w:hint="eastAsia" w:ascii="仿宋_GB2312" w:hAnsi="仿宋_GB2312" w:eastAsia="仿宋_GB2312" w:cs="仿宋_GB2312"/>
          <w:color w:val="auto"/>
          <w:kern w:val="2"/>
          <w:sz w:val="3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highlight w:val="none"/>
        </w:rPr>
      </w:pP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存在其它被禁止竞买土地行为的</w:t>
      </w:r>
      <w:r>
        <w:rPr>
          <w:rFonts w:hint="eastAsia" w:ascii="仿宋_GB2312" w:hAnsi="仿宋_GB2312" w:eastAsia="仿宋_GB2312" w:cs="仿宋_GB231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、本次国有建设用地使用权网上挂牌竞价达到53590万元时，转为采取摇号方式确定竞得人。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、本次网上挂牌出让的详细资料和具体要求，见惠州市公共资源交易中心土地与矿业网上挂牌交易系统（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、申请人应当在网上挂牌出让结束前</w:t>
      </w:r>
      <w:r>
        <w:rPr>
          <w:rFonts w:hint="eastAsia" w:ascii="仿宋_GB2312" w:hAnsi="仿宋_GB2312" w:eastAsia="仿宋_GB2312" w:cs="仿宋_GB2312"/>
          <w:sz w:val="32"/>
          <w:szCs w:val="32"/>
          <w:highlight w:val="none"/>
          <w:lang w:eastAsia="zh-CN"/>
        </w:rPr>
        <w:t>登录</w:t>
      </w:r>
      <w:r>
        <w:rPr>
          <w:rFonts w:hint="eastAsia" w:ascii="仿宋_GB2312" w:hAnsi="仿宋_GB2312" w:eastAsia="仿宋_GB2312" w:cs="仿宋_GB2312"/>
          <w:sz w:val="32"/>
          <w:szCs w:val="32"/>
          <w:highlight w:val="none"/>
        </w:rPr>
        <w:t>惠州市公共资源交易中心土地与矿业网上挂牌交易系统并在系统上向惠州市公共资源交易中心提交竞买申请并支付保证金。网上挂牌保证金到账截止时间为</w:t>
      </w:r>
      <w:r>
        <w:rPr>
          <w:rFonts w:hint="eastAsia" w:ascii="仿宋_GB2312" w:hAnsi="仿宋_GB2312" w:eastAsia="仿宋_GB2312" w:cs="仿宋_GB2312"/>
          <w:sz w:val="32"/>
          <w:szCs w:val="32"/>
          <w:highlight w:val="none"/>
          <w:lang w:val="en-US" w:eastAsia="zh-CN"/>
        </w:rPr>
        <w:t>2021年12月1</w:t>
      </w:r>
      <w:bookmarkStart w:id="0" w:name="_GoBack"/>
      <w:bookmarkEnd w:id="0"/>
      <w:r>
        <w:rPr>
          <w:rFonts w:hint="eastAsia" w:ascii="仿宋_GB2312" w:hAnsi="仿宋_GB2312" w:eastAsia="仿宋_GB2312" w:cs="仿宋_GB2312"/>
          <w:sz w:val="32"/>
          <w:szCs w:val="32"/>
          <w:highlight w:val="none"/>
          <w:lang w:val="en-US" w:eastAsia="zh-CN"/>
        </w:rPr>
        <w:t>日上</w:t>
      </w:r>
      <w:r>
        <w:rPr>
          <w:rFonts w:hint="eastAsia" w:ascii="仿宋_GB2312" w:hAnsi="仿宋_GB2312" w:eastAsia="仿宋_GB2312" w:cs="仿宋_GB2312"/>
          <w:sz w:val="32"/>
          <w:szCs w:val="32"/>
          <w:highlight w:val="none"/>
        </w:rPr>
        <w:t>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时止</w:t>
      </w:r>
      <w:r>
        <w:rPr>
          <w:rFonts w:hint="eastAsia" w:ascii="仿宋_GB2312" w:hAnsi="仿宋_GB2312" w:eastAsia="仿宋_GB2312" w:cs="仿宋_GB2312"/>
          <w:sz w:val="32"/>
          <w:szCs w:val="32"/>
          <w:highlight w:val="none"/>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w:t>
      </w:r>
      <w:r>
        <w:rPr>
          <w:rFonts w:hint="eastAsia" w:ascii="仿宋_GB2312" w:hAnsi="仿宋_GB2312" w:eastAsia="仿宋_GB2312" w:cs="仿宋_GB2312"/>
          <w:sz w:val="32"/>
          <w:szCs w:val="32"/>
          <w:highlight w:val="none"/>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（一）该地块所建单套毛坯商品住宅销售单价不高于21000元/㎡，如实施装修销售的，装修标准原则上不得高于3000元/㎡。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（二）开发投资总额不少于75100万元（含地价,不含地价溢价部分）。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（四）竞得人在用地红线内开发建设必须符合城市规划要求，必须按《规划设计条件告知书》（案卷编号：PB20210055）规划控制指标要求及有关规定进行规划设计；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（五）该地属政府储备地，没有法律经济纠纷，具备动工开发所必须的基本条件；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（六）竞得人须按《规划设计条件告知书》（案卷编号：PB20210055）要求配建相关配套设施；</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竞得人须配建总建筑面积不低于33214㎡（按总建筑面积的35%配建）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（八）竞得人须按规划要求及相关规范承担地块南侧修竹一路（包括雨水管、污水管、电力电缆沟和通信管群）的建设，建成后无偿移交政府相关部门</w:t>
      </w:r>
      <w:r>
        <w:rPr>
          <w:rFonts w:hint="eastAsia" w:ascii="仿宋_GB2312" w:hAnsi="仿宋_GB2312" w:eastAsia="仿宋_GB2312" w:cs="仿宋_GB2312"/>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（九）竞得人有下列行为之一的，取消竞得人资格，竞买保证金不予退还,并由有关部门依法处理;造成损失的，竞得人还应依法承担赔偿责任：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1、不符合竞买资格条件的；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3、竞得人以其他非法手段竞得的；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）挂牌出让价款不含应由竞得人缴纳的契税、印花税等有关费用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联系方式：</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（一）惠州市自然资源局</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联系地址：惠州市江北三新南路7号</w:t>
      </w:r>
    </w:p>
    <w:p>
      <w:pPr>
        <w:spacing w:line="520" w:lineRule="exact"/>
        <w:ind w:right="64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联系人：王小姐</w:t>
      </w:r>
    </w:p>
    <w:p>
      <w:pPr>
        <w:spacing w:line="520" w:lineRule="exact"/>
        <w:ind w:right="64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联系电话：（0752）2896313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联系地址：广东省惠州市惠城区三新北路31号市民服务中心3号楼一楼108室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惠州市公共资源交易中心网：</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"http://zyjy.huizhou.gov.cn"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http://zyjy.huizhou.gov.cn</w:t>
      </w: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696969"/>
          <w:sz w:val="32"/>
          <w:szCs w:val="32"/>
          <w:highlight w:val="none"/>
        </w:rPr>
      </w:pPr>
      <w:r>
        <w:rPr>
          <w:rFonts w:hint="eastAsia" w:ascii="仿宋_GB2312" w:hAnsi="仿宋_GB2312" w:eastAsia="仿宋_GB2312" w:cs="仿宋_GB2312"/>
          <w:sz w:val="32"/>
          <w:szCs w:val="32"/>
          <w:highlight w:val="none"/>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罗工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2021年10月27日</w:t>
      </w: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附表</w:t>
      </w:r>
    </w:p>
    <w:p>
      <w:pPr>
        <w:tabs>
          <w:tab w:val="left" w:pos="9720"/>
        </w:tabs>
        <w:spacing w:line="360" w:lineRule="auto"/>
        <w:jc w:val="center"/>
        <w:rPr>
          <w:rFonts w:hint="default" w:ascii="Times New Roman" w:hAnsi="Times New Roman" w:eastAsia="方正小标宋_GBK" w:cs="Times New Roman"/>
          <w:b/>
          <w:sz w:val="36"/>
          <w:szCs w:val="36"/>
          <w:highlight w:val="none"/>
        </w:rPr>
      </w:pPr>
      <w:r>
        <w:rPr>
          <w:rFonts w:hint="default" w:ascii="Times New Roman" w:hAnsi="Times New Roman" w:eastAsia="方正小标宋_GBK" w:cs="Times New Roman"/>
          <w:b/>
          <w:sz w:val="36"/>
          <w:szCs w:val="36"/>
          <w:highlight w:val="none"/>
        </w:rPr>
        <w:t>网上挂牌出让地块规划建设指标</w:t>
      </w:r>
    </w:p>
    <w:tbl>
      <w:tblPr>
        <w:tblStyle w:val="9"/>
        <w:tblpPr w:leftFromText="180" w:rightFromText="180" w:vertAnchor="text" w:tblpXSpec="center" w:tblpY="1"/>
        <w:tblOverlap w:val="never"/>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900"/>
        <w:gridCol w:w="877"/>
        <w:gridCol w:w="728"/>
        <w:gridCol w:w="1005"/>
        <w:gridCol w:w="945"/>
        <w:gridCol w:w="986"/>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2" w:type="dxa"/>
            <w:vMerge w:val="restart"/>
            <w:vAlign w:val="center"/>
          </w:tcPr>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挂牌地块编号</w:t>
            </w:r>
          </w:p>
        </w:tc>
        <w:tc>
          <w:tcPr>
            <w:tcW w:w="608" w:type="dxa"/>
            <w:vMerge w:val="restart"/>
            <w:vAlign w:val="center"/>
          </w:tcPr>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土地</w:t>
            </w:r>
          </w:p>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位置</w:t>
            </w:r>
          </w:p>
        </w:tc>
        <w:tc>
          <w:tcPr>
            <w:tcW w:w="668"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lang w:val="en-US" w:eastAsia="zh-CN"/>
              </w:rPr>
              <w:t>用地</w:t>
            </w:r>
            <w:r>
              <w:rPr>
                <w:rFonts w:hint="default" w:ascii="Times New Roman" w:hAnsi="Times New Roman" w:eastAsia="仿宋_GB2312" w:cs="Times New Roman"/>
                <w:b/>
                <w:bCs/>
                <w:szCs w:val="21"/>
                <w:highlight w:val="none"/>
              </w:rPr>
              <w:t>编号</w:t>
            </w:r>
          </w:p>
        </w:tc>
        <w:tc>
          <w:tcPr>
            <w:tcW w:w="473"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土地</w:t>
            </w:r>
          </w:p>
          <w:p>
            <w:pPr>
              <w:adjustRightInd w:val="0"/>
              <w:snapToGrid w:val="0"/>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用途</w:t>
            </w:r>
          </w:p>
        </w:tc>
        <w:tc>
          <w:tcPr>
            <w:tcW w:w="7186" w:type="dxa"/>
            <w:gridSpan w:val="8"/>
            <w:vAlign w:val="center"/>
          </w:tcPr>
          <w:p>
            <w:pPr>
              <w:adjustRightInd w:val="0"/>
              <w:snapToGrid w:val="0"/>
              <w:spacing w:line="320" w:lineRule="exact"/>
              <w:ind w:left="1" w:leftChars="-89" w:hanging="188" w:hangingChars="89"/>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规划指标要求</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702"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608"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668"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473" w:type="dxa"/>
            <w:vMerge w:val="continue"/>
            <w:vAlign w:val="center"/>
          </w:tcPr>
          <w:p>
            <w:pPr>
              <w:adjustRightInd w:val="0"/>
              <w:snapToGrid w:val="0"/>
              <w:spacing w:line="320" w:lineRule="exact"/>
              <w:jc w:val="center"/>
              <w:rPr>
                <w:rFonts w:hint="default" w:ascii="Times New Roman" w:hAnsi="Times New Roman" w:eastAsia="仿宋_GB2312" w:cs="Times New Roman"/>
                <w:b/>
                <w:bCs/>
                <w:highlight w:val="none"/>
              </w:rPr>
            </w:pPr>
          </w:p>
        </w:tc>
        <w:tc>
          <w:tcPr>
            <w:tcW w:w="1004" w:type="dxa"/>
            <w:vAlign w:val="center"/>
          </w:tcPr>
          <w:p>
            <w:pPr>
              <w:spacing w:line="320" w:lineRule="exact"/>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计算指标用地面积</w:t>
            </w:r>
          </w:p>
        </w:tc>
        <w:tc>
          <w:tcPr>
            <w:tcW w:w="900" w:type="dxa"/>
            <w:vAlign w:val="center"/>
          </w:tcPr>
          <w:p>
            <w:pPr>
              <w:autoSpaceDE w:val="0"/>
              <w:autoSpaceDN w:val="0"/>
              <w:adjustRightInd w:val="0"/>
              <w:spacing w:line="240" w:lineRule="exact"/>
              <w:jc w:val="center"/>
              <w:rPr>
                <w:rFonts w:hint="default" w:ascii="Times New Roman" w:hAnsi="Times New Roman" w:cs="Times New Roman"/>
                <w:b/>
                <w:bCs/>
                <w:szCs w:val="21"/>
                <w:highlight w:val="none"/>
              </w:rPr>
            </w:pPr>
            <w:r>
              <w:rPr>
                <w:rFonts w:hint="default" w:ascii="Times New Roman" w:hAnsi="Times New Roman" w:eastAsia="仿宋_GB2312" w:cs="Times New Roman"/>
                <w:b/>
                <w:bCs/>
                <w:szCs w:val="21"/>
                <w:highlight w:val="none"/>
              </w:rPr>
              <w:t>宗地使用权面积</w:t>
            </w:r>
          </w:p>
        </w:tc>
        <w:tc>
          <w:tcPr>
            <w:tcW w:w="877"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highlight w:val="none"/>
                <w:lang w:val="en-US" w:eastAsia="zh-CN"/>
              </w:rPr>
            </w:pPr>
            <w:r>
              <w:rPr>
                <w:rFonts w:hint="default" w:ascii="Times New Roman" w:hAnsi="Times New Roman" w:eastAsia="仿宋_GB2312" w:cs="Times New Roman"/>
                <w:b/>
                <w:bCs/>
                <w:szCs w:val="21"/>
                <w:highlight w:val="none"/>
                <w:lang w:val="en-US" w:eastAsia="zh-CN"/>
              </w:rPr>
              <w:t>建筑密度</w:t>
            </w:r>
          </w:p>
        </w:tc>
        <w:tc>
          <w:tcPr>
            <w:tcW w:w="728"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highlight w:val="none"/>
                <w:lang w:val="en-US" w:eastAsia="zh-CN"/>
              </w:rPr>
            </w:pPr>
            <w:r>
              <w:rPr>
                <w:rFonts w:hint="default" w:ascii="Times New Roman" w:hAnsi="Times New Roman" w:eastAsia="仿宋_GB2312" w:cs="Times New Roman"/>
                <w:b/>
                <w:bCs/>
                <w:szCs w:val="21"/>
                <w:highlight w:val="none"/>
                <w:lang w:val="en-US" w:eastAsia="zh-CN"/>
              </w:rPr>
              <w:t>容积率</w:t>
            </w:r>
          </w:p>
        </w:tc>
        <w:tc>
          <w:tcPr>
            <w:tcW w:w="1005"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highlight w:val="none"/>
              </w:rPr>
            </w:pPr>
            <w:r>
              <w:rPr>
                <w:rFonts w:hint="default" w:ascii="Times New Roman" w:hAnsi="Times New Roman" w:eastAsia="仿宋_GB2312" w:cs="Times New Roman"/>
                <w:b/>
                <w:bCs/>
                <w:szCs w:val="21"/>
                <w:highlight w:val="none"/>
              </w:rPr>
              <w:t>计容积率建筑面积</w:t>
            </w:r>
          </w:p>
        </w:tc>
        <w:tc>
          <w:tcPr>
            <w:tcW w:w="945" w:type="dxa"/>
            <w:vAlign w:val="center"/>
          </w:tcPr>
          <w:p>
            <w:pPr>
              <w:autoSpaceDE w:val="0"/>
              <w:autoSpaceDN w:val="0"/>
              <w:adjustRightInd w:val="0"/>
              <w:spacing w:line="240" w:lineRule="exact"/>
              <w:jc w:val="center"/>
              <w:rPr>
                <w:rFonts w:hint="default" w:ascii="Times New Roman" w:hAnsi="Times New Roman" w:eastAsia="仿宋_GB2312" w:cs="Times New Roman"/>
                <w:b/>
                <w:bCs/>
                <w:highlight w:val="none"/>
                <w:lang w:eastAsia="zh-CN"/>
              </w:rPr>
            </w:pPr>
            <w:r>
              <w:rPr>
                <w:rFonts w:hint="default" w:ascii="Times New Roman" w:hAnsi="Times New Roman" w:eastAsia="仿宋_GB2312" w:cs="Times New Roman"/>
                <w:b/>
                <w:bCs/>
                <w:highlight w:val="none"/>
                <w:lang w:eastAsia="zh-CN"/>
              </w:rPr>
              <w:t>绿地率</w:t>
            </w:r>
          </w:p>
        </w:tc>
        <w:tc>
          <w:tcPr>
            <w:tcW w:w="986" w:type="dxa"/>
            <w:vAlign w:val="center"/>
          </w:tcPr>
          <w:p>
            <w:pPr>
              <w:autoSpaceDE w:val="0"/>
              <w:autoSpaceDN w:val="0"/>
              <w:adjustRightInd w:val="0"/>
              <w:spacing w:line="240" w:lineRule="exact"/>
              <w:jc w:val="center"/>
              <w:rPr>
                <w:rFonts w:hint="default" w:ascii="Times New Roman" w:hAnsi="Times New Roman" w:eastAsia="宋体" w:cs="Times New Roman"/>
                <w:b/>
                <w:bCs/>
                <w:szCs w:val="21"/>
                <w:highlight w:val="none"/>
                <w:lang w:eastAsia="zh-CN"/>
              </w:rPr>
            </w:pPr>
            <w:r>
              <w:rPr>
                <w:rFonts w:hint="default" w:ascii="Times New Roman" w:hAnsi="Times New Roman" w:eastAsia="仿宋_GB2312" w:cs="Times New Roman"/>
                <w:b/>
                <w:szCs w:val="21"/>
                <w:highlight w:val="none"/>
                <w:lang w:eastAsia="zh-CN"/>
              </w:rPr>
              <w:t>机动车停车位（个）</w:t>
            </w:r>
          </w:p>
        </w:tc>
        <w:tc>
          <w:tcPr>
            <w:tcW w:w="741" w:type="dxa"/>
            <w:vAlign w:val="center"/>
          </w:tcPr>
          <w:p>
            <w:pPr>
              <w:autoSpaceDE w:val="0"/>
              <w:autoSpaceDN w:val="0"/>
              <w:adjustRightInd w:val="0"/>
              <w:spacing w:line="240" w:lineRule="exact"/>
              <w:jc w:val="center"/>
              <w:rPr>
                <w:rFonts w:hint="default" w:ascii="Times New Roman" w:hAnsi="Times New Roman" w:eastAsia="仿宋_GB2312" w:cs="Times New Roman"/>
                <w:b/>
                <w:bCs/>
                <w:highlight w:val="none"/>
              </w:rPr>
            </w:pPr>
            <w:r>
              <w:rPr>
                <w:rFonts w:hint="default" w:ascii="Times New Roman" w:hAnsi="Times New Roman" w:eastAsia="仿宋_GB2312" w:cs="Times New Roman"/>
                <w:b/>
                <w:bCs/>
                <w:szCs w:val="21"/>
                <w:highlight w:val="none"/>
              </w:rPr>
              <w:t>适建性</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702" w:type="dxa"/>
            <w:tcMar>
              <w:left w:w="0" w:type="dxa"/>
              <w:right w:w="0" w:type="dxa"/>
            </w:tcMar>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GP2021</w:t>
            </w:r>
          </w:p>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val="en-US" w:eastAsia="zh-CN"/>
              </w:rPr>
              <w:t>44</w:t>
            </w:r>
          </w:p>
        </w:tc>
        <w:tc>
          <w:tcPr>
            <w:tcW w:w="608"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惠州市惠城区金山湖片区JSH-B04-20地块</w:t>
            </w:r>
          </w:p>
        </w:tc>
        <w:tc>
          <w:tcPr>
            <w:tcW w:w="668"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JSH-B04-20</w:t>
            </w:r>
          </w:p>
        </w:tc>
        <w:tc>
          <w:tcPr>
            <w:tcW w:w="473" w:type="dxa"/>
            <w:tcMar>
              <w:left w:w="0" w:type="dxa"/>
              <w:right w:w="0" w:type="dxa"/>
            </w:tcMar>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城镇住宅及商服用地</w:t>
            </w:r>
          </w:p>
        </w:tc>
        <w:tc>
          <w:tcPr>
            <w:tcW w:w="1004"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30612</w:t>
            </w:r>
            <w:r>
              <w:rPr>
                <w:rFonts w:hint="default" w:ascii="仿宋_GB2312" w:hAnsi="仿宋_GB2312" w:eastAsia="仿宋_GB2312" w:cs="仿宋_GB2312"/>
                <w:szCs w:val="21"/>
                <w:highlight w:val="none"/>
                <w:lang w:val="en-US" w:eastAsia="zh-CN"/>
              </w:rPr>
              <w:t>㎡</w:t>
            </w:r>
          </w:p>
        </w:tc>
        <w:tc>
          <w:tcPr>
            <w:tcW w:w="900"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23084.17</w:t>
            </w:r>
            <w:r>
              <w:rPr>
                <w:rFonts w:hint="default" w:ascii="仿宋_GB2312" w:hAnsi="仿宋_GB2312" w:eastAsia="仿宋_GB2312" w:cs="仿宋_GB2312"/>
                <w:szCs w:val="21"/>
                <w:highlight w:val="none"/>
                <w:lang w:val="en-US" w:eastAsia="zh-CN"/>
              </w:rPr>
              <w:t>㎡</w:t>
            </w:r>
          </w:p>
        </w:tc>
        <w:tc>
          <w:tcPr>
            <w:tcW w:w="877"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≤22</w:t>
            </w:r>
            <w:r>
              <w:rPr>
                <w:rFonts w:hint="default" w:ascii="仿宋_GB2312" w:hAnsi="仿宋_GB2312" w:eastAsia="仿宋_GB2312" w:cs="仿宋_GB2312"/>
                <w:szCs w:val="21"/>
                <w:highlight w:val="none"/>
                <w:lang w:val="en-US" w:eastAsia="zh-CN"/>
              </w:rPr>
              <w:t>%</w:t>
            </w:r>
          </w:p>
        </w:tc>
        <w:tc>
          <w:tcPr>
            <w:tcW w:w="728"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val="en-US" w:eastAsia="zh-CN"/>
              </w:rPr>
              <w:t>3.1</w:t>
            </w:r>
          </w:p>
        </w:tc>
        <w:tc>
          <w:tcPr>
            <w:tcW w:w="100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val="en-US" w:eastAsia="zh-CN"/>
              </w:rPr>
              <w:t>94897</w:t>
            </w:r>
            <w:r>
              <w:rPr>
                <w:rFonts w:hint="default" w:ascii="仿宋_GB2312" w:hAnsi="仿宋_GB2312" w:eastAsia="仿宋_GB2312" w:cs="仿宋_GB2312"/>
                <w:szCs w:val="21"/>
                <w:highlight w:val="none"/>
                <w:lang w:val="en-US" w:eastAsia="zh-CN"/>
              </w:rPr>
              <w:t>㎡（其中商业建筑面积</w:t>
            </w:r>
            <w:r>
              <w:rPr>
                <w:rFonts w:hint="eastAsia" w:ascii="仿宋_GB2312" w:hAnsi="仿宋_GB2312" w:eastAsia="仿宋_GB2312" w:cs="仿宋_GB2312"/>
                <w:szCs w:val="21"/>
                <w:highlight w:val="none"/>
                <w:lang w:val="en-US" w:eastAsia="zh-CN"/>
              </w:rPr>
              <w:t>的比例</w:t>
            </w:r>
            <w:r>
              <w:rPr>
                <w:rFonts w:hint="default" w:ascii="仿宋_GB2312" w:hAnsi="仿宋_GB2312" w:eastAsia="仿宋_GB2312" w:cs="仿宋_GB2312"/>
                <w:szCs w:val="21"/>
                <w:highlight w:val="none"/>
                <w:lang w:val="en-US" w:eastAsia="zh-CN"/>
              </w:rPr>
              <w:t>≤</w:t>
            </w:r>
            <w:r>
              <w:rPr>
                <w:rFonts w:hint="eastAsia" w:ascii="仿宋_GB2312" w:hAnsi="仿宋_GB2312" w:eastAsia="仿宋_GB2312" w:cs="仿宋_GB2312"/>
                <w:szCs w:val="21"/>
                <w:highlight w:val="none"/>
                <w:lang w:val="en-US" w:eastAsia="zh-CN"/>
              </w:rPr>
              <w:t>10</w:t>
            </w:r>
            <w:r>
              <w:rPr>
                <w:rFonts w:hint="default" w:ascii="仿宋_GB2312" w:hAnsi="仿宋_GB2312" w:eastAsia="仿宋_GB2312" w:cs="仿宋_GB2312"/>
                <w:szCs w:val="21"/>
                <w:highlight w:val="none"/>
                <w:lang w:val="en-US" w:eastAsia="zh-CN"/>
              </w:rPr>
              <w:t>%，配套设施建筑面积＞</w:t>
            </w:r>
            <w:r>
              <w:rPr>
                <w:rFonts w:hint="eastAsia" w:ascii="仿宋_GB2312" w:hAnsi="仿宋_GB2312" w:eastAsia="仿宋_GB2312" w:cs="仿宋_GB2312"/>
                <w:szCs w:val="21"/>
                <w:highlight w:val="none"/>
                <w:lang w:val="en-US" w:eastAsia="zh-CN"/>
              </w:rPr>
              <w:t>1745</w:t>
            </w:r>
            <w:r>
              <w:rPr>
                <w:rFonts w:hint="default" w:ascii="仿宋_GB2312" w:hAnsi="仿宋_GB2312" w:eastAsia="仿宋_GB2312" w:cs="仿宋_GB2312"/>
                <w:szCs w:val="21"/>
                <w:highlight w:val="none"/>
                <w:lang w:val="en-US" w:eastAsia="zh-CN"/>
              </w:rPr>
              <w:t>㎡）</w:t>
            </w:r>
          </w:p>
        </w:tc>
        <w:tc>
          <w:tcPr>
            <w:tcW w:w="945"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≥35%</w:t>
            </w:r>
          </w:p>
        </w:tc>
        <w:tc>
          <w:tcPr>
            <w:tcW w:w="986"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每100㎡计容积率建筑面积≥1个</w:t>
            </w:r>
          </w:p>
        </w:tc>
        <w:tc>
          <w:tcPr>
            <w:tcW w:w="741"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住宅、商业及配套设施</w:t>
            </w:r>
          </w:p>
        </w:tc>
        <w:tc>
          <w:tcPr>
            <w:tcW w:w="677" w:type="dxa"/>
            <w:vAlign w:val="center"/>
          </w:tcPr>
          <w:p>
            <w:pPr>
              <w:spacing w:line="300" w:lineRule="exact"/>
              <w:jc w:val="center"/>
              <w:rPr>
                <w:rFonts w:hint="default" w:ascii="仿宋_GB2312" w:hAnsi="仿宋_GB2312" w:eastAsia="仿宋_GB2312" w:cs="仿宋_GB2312"/>
                <w:szCs w:val="21"/>
                <w:highlight w:val="none"/>
                <w:lang w:val="en-US" w:eastAsia="zh-CN"/>
              </w:rPr>
            </w:pPr>
            <w:r>
              <w:rPr>
                <w:rFonts w:hint="default" w:ascii="仿宋_GB2312" w:hAnsi="仿宋_GB2312" w:eastAsia="仿宋_GB2312" w:cs="仿宋_GB2312"/>
                <w:szCs w:val="21"/>
                <w:highlight w:val="none"/>
                <w:lang w:val="en-US" w:eastAsia="zh-CN"/>
              </w:rPr>
              <w:t>城镇住宅用地70年、商服用地40年</w:t>
            </w:r>
          </w:p>
        </w:tc>
      </w:tr>
    </w:tbl>
    <w:p>
      <w:pPr>
        <w:tabs>
          <w:tab w:val="left" w:pos="11340"/>
        </w:tabs>
        <w:spacing w:line="600" w:lineRule="exact"/>
        <w:rPr>
          <w:rFonts w:hint="default" w:ascii="Times New Roman" w:hAnsi="Times New Roman" w:eastAsia="仿宋_GB2312" w:cs="Times New Roman"/>
          <w:sz w:val="32"/>
          <w:szCs w:val="32"/>
          <w:highlight w:val="none"/>
        </w:rPr>
      </w:pPr>
    </w:p>
    <w:p>
      <w:pPr>
        <w:rPr>
          <w:rFonts w:hint="default" w:ascii="Times New Roman" w:hAnsi="Times New Roman" w:cs="Times New Roman"/>
          <w:highlight w:val="none"/>
        </w:rPr>
      </w:pPr>
    </w:p>
    <w:p>
      <w:pPr>
        <w:spacing w:line="360" w:lineRule="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rPr>
    </w:pPr>
  </w:p>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46368B3"/>
    <w:rsid w:val="047C6F5A"/>
    <w:rsid w:val="069C76D6"/>
    <w:rsid w:val="07386886"/>
    <w:rsid w:val="07895069"/>
    <w:rsid w:val="07CF5BB3"/>
    <w:rsid w:val="07E97CE1"/>
    <w:rsid w:val="082B1937"/>
    <w:rsid w:val="09B41FDD"/>
    <w:rsid w:val="09EF4B5F"/>
    <w:rsid w:val="0B78752F"/>
    <w:rsid w:val="0B7A084A"/>
    <w:rsid w:val="0D167AC3"/>
    <w:rsid w:val="0D430223"/>
    <w:rsid w:val="0DF23899"/>
    <w:rsid w:val="0E177AE2"/>
    <w:rsid w:val="0E7A65F6"/>
    <w:rsid w:val="101D3BC2"/>
    <w:rsid w:val="10BD4DFA"/>
    <w:rsid w:val="137618AF"/>
    <w:rsid w:val="13D50F1B"/>
    <w:rsid w:val="161D2710"/>
    <w:rsid w:val="167673A1"/>
    <w:rsid w:val="16AA6FD1"/>
    <w:rsid w:val="16D56AAC"/>
    <w:rsid w:val="172121EB"/>
    <w:rsid w:val="17AA0480"/>
    <w:rsid w:val="17D36568"/>
    <w:rsid w:val="17F82A54"/>
    <w:rsid w:val="188D227F"/>
    <w:rsid w:val="192F711A"/>
    <w:rsid w:val="1A0B2C56"/>
    <w:rsid w:val="1AA5305E"/>
    <w:rsid w:val="1ADB0E54"/>
    <w:rsid w:val="1C5904D7"/>
    <w:rsid w:val="1CD57BAD"/>
    <w:rsid w:val="1D7069CD"/>
    <w:rsid w:val="1DE30B94"/>
    <w:rsid w:val="1E862B6D"/>
    <w:rsid w:val="1F7C2358"/>
    <w:rsid w:val="1FB07F91"/>
    <w:rsid w:val="20ED2229"/>
    <w:rsid w:val="210A61AB"/>
    <w:rsid w:val="217817B2"/>
    <w:rsid w:val="22890C8D"/>
    <w:rsid w:val="23A027B1"/>
    <w:rsid w:val="25251515"/>
    <w:rsid w:val="27A65DB8"/>
    <w:rsid w:val="28774868"/>
    <w:rsid w:val="28C60AA0"/>
    <w:rsid w:val="2A6B42FA"/>
    <w:rsid w:val="2A870225"/>
    <w:rsid w:val="2AAC048C"/>
    <w:rsid w:val="2B5D4967"/>
    <w:rsid w:val="2F020615"/>
    <w:rsid w:val="304C7078"/>
    <w:rsid w:val="31CE6D72"/>
    <w:rsid w:val="33861F14"/>
    <w:rsid w:val="33DD4339"/>
    <w:rsid w:val="35335FA2"/>
    <w:rsid w:val="36061489"/>
    <w:rsid w:val="36885460"/>
    <w:rsid w:val="372361B7"/>
    <w:rsid w:val="37607760"/>
    <w:rsid w:val="380440B7"/>
    <w:rsid w:val="381E07C6"/>
    <w:rsid w:val="38387384"/>
    <w:rsid w:val="38BD14D1"/>
    <w:rsid w:val="3C13026D"/>
    <w:rsid w:val="3C8078D7"/>
    <w:rsid w:val="3DDC60B5"/>
    <w:rsid w:val="3FF04DBA"/>
    <w:rsid w:val="40231E47"/>
    <w:rsid w:val="40363F40"/>
    <w:rsid w:val="409256E4"/>
    <w:rsid w:val="409E7D83"/>
    <w:rsid w:val="40B33D72"/>
    <w:rsid w:val="411B39E1"/>
    <w:rsid w:val="414E681A"/>
    <w:rsid w:val="42CE6157"/>
    <w:rsid w:val="4333178A"/>
    <w:rsid w:val="43706132"/>
    <w:rsid w:val="44966F93"/>
    <w:rsid w:val="45C047BF"/>
    <w:rsid w:val="47AF3E70"/>
    <w:rsid w:val="495B6193"/>
    <w:rsid w:val="4A1228DB"/>
    <w:rsid w:val="4A1B1ECC"/>
    <w:rsid w:val="4AE74DD0"/>
    <w:rsid w:val="4C2E14D5"/>
    <w:rsid w:val="4D1610A1"/>
    <w:rsid w:val="4DF35994"/>
    <w:rsid w:val="4EC91786"/>
    <w:rsid w:val="4F861E18"/>
    <w:rsid w:val="512A0AC6"/>
    <w:rsid w:val="538C505C"/>
    <w:rsid w:val="540106D5"/>
    <w:rsid w:val="546946EF"/>
    <w:rsid w:val="565101CA"/>
    <w:rsid w:val="567F481B"/>
    <w:rsid w:val="578E459E"/>
    <w:rsid w:val="57A3234F"/>
    <w:rsid w:val="57C844D5"/>
    <w:rsid w:val="57EA41E9"/>
    <w:rsid w:val="594D206E"/>
    <w:rsid w:val="596A13D8"/>
    <w:rsid w:val="5A893EB0"/>
    <w:rsid w:val="5AF873B7"/>
    <w:rsid w:val="5D241B5A"/>
    <w:rsid w:val="5D471E01"/>
    <w:rsid w:val="5E3B0440"/>
    <w:rsid w:val="606821F3"/>
    <w:rsid w:val="60AD2817"/>
    <w:rsid w:val="623F28DB"/>
    <w:rsid w:val="63AA2C72"/>
    <w:rsid w:val="63CE4A87"/>
    <w:rsid w:val="64D925C4"/>
    <w:rsid w:val="64E467ED"/>
    <w:rsid w:val="65651799"/>
    <w:rsid w:val="669A56E0"/>
    <w:rsid w:val="68527CA2"/>
    <w:rsid w:val="692A6240"/>
    <w:rsid w:val="6B6E278B"/>
    <w:rsid w:val="6BE509C5"/>
    <w:rsid w:val="6C72571A"/>
    <w:rsid w:val="6E0C0E77"/>
    <w:rsid w:val="6EB83079"/>
    <w:rsid w:val="6EC11C99"/>
    <w:rsid w:val="6ED476F5"/>
    <w:rsid w:val="6F3F769A"/>
    <w:rsid w:val="6F4B3B48"/>
    <w:rsid w:val="6FF0551C"/>
    <w:rsid w:val="700A52E4"/>
    <w:rsid w:val="700B25B1"/>
    <w:rsid w:val="727D44B4"/>
    <w:rsid w:val="728D40FC"/>
    <w:rsid w:val="7291218D"/>
    <w:rsid w:val="736D1677"/>
    <w:rsid w:val="73BE7EBD"/>
    <w:rsid w:val="73F22758"/>
    <w:rsid w:val="748840AA"/>
    <w:rsid w:val="761352C3"/>
    <w:rsid w:val="765425FB"/>
    <w:rsid w:val="7774343F"/>
    <w:rsid w:val="77DD303C"/>
    <w:rsid w:val="782A0826"/>
    <w:rsid w:val="787C1591"/>
    <w:rsid w:val="79E82C45"/>
    <w:rsid w:val="7AD36021"/>
    <w:rsid w:val="7B832F79"/>
    <w:rsid w:val="7D06007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spacing w:line="360" w:lineRule="auto"/>
      <w:ind w:firstLine="420"/>
    </w:pPr>
    <w:rPr>
      <w:sz w:val="28"/>
      <w:szCs w:val="20"/>
    </w:r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袁秀玲</cp:lastModifiedBy>
  <cp:lastPrinted>2021-10-27T03:27:00Z</cp:lastPrinted>
  <dcterms:modified xsi:type="dcterms:W3CDTF">2021-10-27T06:29:39Z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