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惠州市国有建设用地使用权网上挂牌</w:t>
      </w:r>
      <w:r>
        <w:rPr>
          <w:rFonts w:hint="eastAsia" w:ascii="方正小标宋_GBK" w:hAnsi="华文中宋" w:eastAsia="方正小标宋_GBK"/>
          <w:b/>
          <w:bCs/>
          <w:sz w:val="44"/>
          <w:szCs w:val="44"/>
          <w:highlight w:val="none"/>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047</w:t>
      </w:r>
      <w:r>
        <w:rPr>
          <w:rFonts w:hint="eastAsia" w:ascii="仿宋_GB2312" w:hAnsi="仿宋_GB2312" w:eastAsia="仿宋_GB2312" w:cs="仿宋_GB2312"/>
          <w:sz w:val="32"/>
          <w:szCs w:val="32"/>
          <w:highlight w:val="none"/>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、网上挂牌竞买时间为2021年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lang w:eastAsia="zh-CN"/>
        </w:rPr>
        <w:t>日9时至2021年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日10时。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三、挂牌起始价为人民币53200万元,每次报价加价幅度为人民币500万元的整数倍</w:t>
      </w:r>
      <w:r>
        <w:rPr>
          <w:rFonts w:hint="eastAsia" w:ascii="仿宋_GB2312" w:hAnsi="仿宋_GB2312" w:eastAsia="仿宋_GB2312" w:cs="仿宋_GB2312"/>
          <w:sz w:val="32"/>
          <w:szCs w:val="32"/>
          <w:highlight w:val="none"/>
        </w:rPr>
        <w:t>。</w:t>
      </w:r>
    </w:p>
    <w:p>
      <w:pPr>
        <w:spacing w:line="520" w:lineRule="exact"/>
        <w:ind w:firstLine="720" w:firstLineChars="22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竞买资格及要求</w:t>
      </w:r>
    </w:p>
    <w:p>
      <w:pPr>
        <w:spacing w:line="52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r>
        <w:rPr>
          <w:rFonts w:hint="eastAsia" w:ascii="仿宋_GB2312" w:hAnsi="仿宋_GB2312" w:eastAsia="仿宋_GB2312" w:cs="仿宋_GB2312"/>
          <w:sz w:val="32"/>
          <w:szCs w:val="32"/>
          <w:highlight w:val="none"/>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1、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r>
        <w:rPr>
          <w:rFonts w:hint="eastAsia" w:ascii="仿宋_GB2312" w:hAnsi="仿宋_GB2312" w:eastAsia="仿宋_GB2312" w:cs="仿宋_GB2312"/>
          <w:szCs w:val="32"/>
          <w:highlight w:val="none"/>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2、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r>
        <w:rPr>
          <w:rFonts w:hint="eastAsia" w:ascii="仿宋_GB2312" w:hAnsi="仿宋_GB2312" w:eastAsia="仿宋_GB2312" w:cs="仿宋_GB2312"/>
          <w:szCs w:val="32"/>
          <w:highlight w:val="none"/>
        </w:rPr>
        <w:t>。</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default" w:ascii="Times New Roman" w:hAnsi="Times New Roman" w:eastAsia="仿宋_GB2312" w:cs="Times New Roman"/>
          <w:kern w:val="2"/>
          <w:sz w:val="32"/>
          <w:szCs w:val="32"/>
          <w:highlight w:val="none"/>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二</w:t>
      </w:r>
      <w:r>
        <w:rPr>
          <w:rFonts w:hint="eastAsia" w:ascii="仿宋_GB2312" w:hAnsi="仿宋_GB2312" w:eastAsia="仿宋_GB2312" w:cs="仿宋_GB2312"/>
          <w:kern w:val="2"/>
          <w:sz w:val="32"/>
          <w:szCs w:val="32"/>
          <w:highlight w:val="none"/>
          <w:lang w:val="en-US" w:eastAsia="zh-CN" w:bidi="ar-SA"/>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网上挂牌交易成交后提交相应证明并对上述要求作出承诺</w:t>
      </w:r>
      <w:r>
        <w:rPr>
          <w:rFonts w:hint="default" w:ascii="仿宋_GB2312" w:hAnsi="仿宋_GB2312" w:eastAsia="仿宋_GB2312" w:cs="仿宋_GB2312"/>
          <w:szCs w:val="32"/>
          <w:highlight w:val="none"/>
          <w:lang w:val="en-US" w:eastAsia="zh-CN"/>
        </w:rPr>
        <w:t>。</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pStyle w:val="4"/>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五</w:t>
      </w:r>
      <w:r>
        <w:rPr>
          <w:rFonts w:hint="eastAsia" w:ascii="仿宋_GB2312" w:hAnsi="仿宋_GB2312" w:eastAsia="仿宋_GB2312" w:cs="仿宋_GB2312"/>
          <w:szCs w:val="32"/>
          <w:highlight w:val="none"/>
        </w:rPr>
        <w:t>、该宗地竞买保证金可用人民币及外币（暂限于美元、港币）支付</w:t>
      </w:r>
      <w:r>
        <w:rPr>
          <w:rFonts w:hint="eastAsia" w:ascii="仿宋_GB2312" w:hAnsi="仿宋_GB2312" w:eastAsia="仿宋_GB2312" w:cs="仿宋_GB2312"/>
          <w:szCs w:val="32"/>
          <w:highlight w:val="none"/>
          <w:lang w:eastAsia="zh-CN"/>
        </w:rPr>
        <w:t>。</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六</w:t>
      </w:r>
      <w:r>
        <w:rPr>
          <w:rFonts w:hint="eastAsia" w:ascii="仿宋_GB2312" w:hAnsi="仿宋_GB2312" w:eastAsia="仿宋_GB2312" w:cs="仿宋_GB2312"/>
          <w:szCs w:val="32"/>
          <w:highlight w:val="none"/>
        </w:rPr>
        <w:t>、申请人应具备的其他条件：</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一）缴交竞买保证金15960万元人民币或等值外币（美元2474万元、港币19251万元）</w:t>
      </w:r>
      <w:r>
        <w:rPr>
          <w:rFonts w:hint="eastAsia" w:ascii="仿宋_GB2312" w:hAnsi="仿宋_GB2312" w:eastAsia="仿宋_GB2312" w:cs="仿宋_GB2312"/>
          <w:szCs w:val="32"/>
          <w:highlight w:val="none"/>
        </w:rPr>
        <w:t>。</w:t>
      </w:r>
    </w:p>
    <w:p>
      <w:pPr>
        <w:keepNext w:val="0"/>
        <w:keepLines w:val="0"/>
        <w:pageBreakBefore w:val="0"/>
        <w:widowControl/>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（二）存在下列违法违规违约行为之一的企业及其控股股东，不得参与竞买上述地块：</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1、存在伪造公文骗取用地和非法倒卖土地等犯罪行为的；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2、存在非法转让土地使用权等违法行为的；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3、因企业原因造成土地闲置一年以上且至报名日止未处罚完结的；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4、开发建设企业有违背出让合同约定条件开发利用土地情形且至报名日止未处罚完结的；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5、至报名日止仍拖欠政府地价款的;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6、被列入问题楼盘开发企业黑名单的;</w:t>
      </w:r>
    </w:p>
    <w:p>
      <w:pPr>
        <w:keepNext w:val="0"/>
        <w:keepLines w:val="0"/>
        <w:pageBreakBefore w:val="0"/>
        <w:kinsoku/>
        <w:wordWrap/>
        <w:overflowPunct/>
        <w:topLinePunct w:val="0"/>
        <w:autoSpaceDE/>
        <w:autoSpaceDN/>
        <w:bidi w:val="0"/>
        <w:spacing w:line="640" w:lineRule="atLeast"/>
        <w:ind w:firstLine="627" w:firstLineChars="196"/>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7、购地资金超过“三道红线”，存在重大失信行为的</w:t>
      </w:r>
      <w:r>
        <w:rPr>
          <w:rFonts w:hint="eastAsia" w:ascii="仿宋_GB2312" w:hAnsi="仿宋_GB2312" w:eastAsia="仿宋_GB2312" w:cs="仿宋_GB2312"/>
          <w:color w:val="auto"/>
          <w:kern w:val="2"/>
          <w:sz w:val="32"/>
          <w:szCs w:val="32"/>
          <w:highlight w:val="none"/>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rPr>
        <w:t>存在其它被禁止竞买土地行为的</w:t>
      </w:r>
      <w:r>
        <w:rPr>
          <w:rFonts w:hint="eastAsia" w:ascii="仿宋_GB2312" w:hAnsi="仿宋_GB2312" w:eastAsia="仿宋_GB2312" w:cs="仿宋_GB231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、本次国有建设用地使用权网上挂牌竞价达到61180万元时，转为采取摇号方式确定竞得人。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、本次网上挂牌出让的详细资料和具体要求，见惠州市公共资源交易中心土地与矿业网上挂牌交易系统（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、申请人应当在网上挂牌出让结束前</w:t>
      </w:r>
      <w:r>
        <w:rPr>
          <w:rFonts w:hint="eastAsia" w:ascii="仿宋_GB2312" w:hAnsi="仿宋_GB2312" w:eastAsia="仿宋_GB2312" w:cs="仿宋_GB2312"/>
          <w:sz w:val="32"/>
          <w:szCs w:val="32"/>
          <w:highlight w:val="none"/>
          <w:lang w:eastAsia="zh-CN"/>
        </w:rPr>
        <w:t>登录</w:t>
      </w:r>
      <w:r>
        <w:rPr>
          <w:rFonts w:hint="eastAsia" w:ascii="仿宋_GB2312" w:hAnsi="仿宋_GB2312" w:eastAsia="仿宋_GB2312" w:cs="仿宋_GB2312"/>
          <w:sz w:val="32"/>
          <w:szCs w:val="32"/>
          <w:highlight w:val="none"/>
        </w:rPr>
        <w:t>惠州市公共资源交易中心土地与矿业网上挂牌交易系统并在系统上向惠州市公共资源交易中心提交竞买申请并支付保证金。网上挂牌保证金到账截止时间为</w:t>
      </w:r>
      <w:r>
        <w:rPr>
          <w:rFonts w:hint="eastAsia" w:ascii="仿宋_GB2312" w:hAnsi="仿宋_GB2312" w:eastAsia="仿宋_GB2312" w:cs="仿宋_GB2312"/>
          <w:sz w:val="32"/>
          <w:szCs w:val="32"/>
          <w:highlight w:val="none"/>
          <w:lang w:val="en-US" w:eastAsia="zh-CN"/>
        </w:rPr>
        <w:t>2021年12月8</w:t>
      </w:r>
      <w:bookmarkStart w:id="0" w:name="_GoBack"/>
      <w:bookmarkEnd w:id="0"/>
      <w:r>
        <w:rPr>
          <w:rFonts w:hint="eastAsia" w:ascii="仿宋_GB2312" w:hAnsi="仿宋_GB2312" w:eastAsia="仿宋_GB2312" w:cs="仿宋_GB2312"/>
          <w:sz w:val="32"/>
          <w:szCs w:val="32"/>
          <w:highlight w:val="none"/>
          <w:lang w:val="en-US" w:eastAsia="zh-CN"/>
        </w:rPr>
        <w:t>日上</w:t>
      </w:r>
      <w:r>
        <w:rPr>
          <w:rFonts w:hint="eastAsia" w:ascii="仿宋_GB2312" w:hAnsi="仿宋_GB2312" w:eastAsia="仿宋_GB2312" w:cs="仿宋_GB2312"/>
          <w:sz w:val="32"/>
          <w:szCs w:val="32"/>
          <w:highlight w:val="none"/>
        </w:rPr>
        <w:t>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时止</w:t>
      </w:r>
      <w:r>
        <w:rPr>
          <w:rFonts w:hint="eastAsia" w:ascii="仿宋_GB2312" w:hAnsi="仿宋_GB2312" w:eastAsia="仿宋_GB2312" w:cs="仿宋_GB2312"/>
          <w:sz w:val="32"/>
          <w:szCs w:val="32"/>
          <w:highlight w:val="none"/>
          <w:lang w:bidi="ar-SA"/>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w:t>
      </w:r>
      <w:r>
        <w:rPr>
          <w:rFonts w:hint="eastAsia" w:ascii="仿宋_GB2312" w:hAnsi="仿宋_GB2312" w:eastAsia="仿宋_GB2312" w:cs="仿宋_GB2312"/>
          <w:sz w:val="32"/>
          <w:szCs w:val="32"/>
          <w:highlight w:val="none"/>
        </w:rPr>
        <w:t>余额转作土地成交价款。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以外币缴交竞买保证金的，扣除定金后余额部分返回给竞得人，待竞得人按时缴清土地成交价款后，再将定金退还，不计利息。</w:t>
      </w:r>
    </w:p>
    <w:p>
      <w:pPr>
        <w:keepNext w:val="0"/>
        <w:keepLines w:val="0"/>
        <w:pageBreakBefore w:val="0"/>
        <w:kinsoku/>
        <w:wordWrap/>
        <w:overflowPunct/>
        <w:topLinePunct w:val="0"/>
        <w:autoSpaceDE/>
        <w:autoSpaceDN/>
        <w:bidi w:val="0"/>
        <w:spacing w:line="640" w:lineRule="atLeas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、其它需要公告的事项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（一）该地块竞得开发企业办理住宅预售许可前，应申请销售价格备案，所建单套毛坯商品住宅销售单价不高于 21000 元/㎡， 如实施装修销售的，装修标准原则上不得高于 3000 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（二）开发投资总额不少于86200万元（含地价,不含地价溢价部分）。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（四）竞得人在用地红线内开发建设必须符合城市规划要求，必须按《规划设计条件告知书》（案卷编号：PB20210064）规划控制指标要求及有关规定进行规划设计；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（五）该地属政府储备地，没有法律经济纠纷，具备动工开发所必须的基本条件；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（六）竞得人须按《规划设计条件告知书》（案卷编号：PB20210064）要求配建相关配套设施；</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竞得人须配建总建筑面积不低于38492㎡的安置房（配建安置房建筑面积计入该宗地计算容积率建筑面积）并无偿移交政府，安置房套数、户型等详见安置房建设与移交协议。竞得人在竞得地块后须先与惠城区国有资产监督管理局签订安置房建设与移交协议后方可与市自然资源局签订《国有建设用地使用权出让合同》；</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竞得人须按规划要求承担JSH-B04-27-01地块的9班幼儿园、3班托儿所及配套设施用地，同步划拨给惠城区教育局，并与JSH-B04-27-02地块同步规划设计、同步建设、同步验收交付使用，如JSH-B04-27-02地块分期建设，该幼儿园应纳入首期工程；</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（九）竞得人须按规划要求承担文竹一路、翠竹三路市政道路（包括雨水管、污水管、电力电缆沟和通信管群）的建设，建成后无偿移交给政府相关部门；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（十）临规划城市道路一侧建筑红线与道路红线之间的用地须作为景观绿地型公共空间，由用地权属单位自建，但应服从城市规划建设的需要，建成后由政府统一管理，并纳入城市公共开放空间</w:t>
      </w:r>
      <w:r>
        <w:rPr>
          <w:rFonts w:hint="eastAsia" w:ascii="仿宋_GB2312" w:hAnsi="仿宋_GB2312" w:eastAsia="仿宋_GB2312" w:cs="仿宋_GB2312"/>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（十一）竞得人有下列行为之一的，取消竞得人资格，竞买保证金不予退还,并由有关部门依法处理;造成损失的，竞得人还应依法承担赔偿责任：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1、不符合竞买资格条件的；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3、竞得人以其他非法手段竞得的；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）挂牌出让价款不含应由竞得人缴纳的契税、印花税等有关费用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联系方式：</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（一）惠州市自然资源局</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联系地址：惠州市江北三新南路7号</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联系人：张工</w:t>
      </w:r>
    </w:p>
    <w:p>
      <w:pPr>
        <w:spacing w:line="520" w:lineRule="exact"/>
        <w:ind w:right="64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rPr>
        <w:t>联系电话：（0752）2896269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联系地址：广东省惠州市惠城区三新北路31号市民服务中心3号楼一楼108室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color w:val="auto"/>
          <w:kern w:val="2"/>
          <w:sz w:val="32"/>
          <w:szCs w:val="32"/>
          <w:highlight w:val="none"/>
          <w:lang w:val="en-US" w:eastAsia="zh-CN" w:bidi="ar-SA"/>
        </w:rPr>
        <w:t>袁小姐、杨小姐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注：本公告同时在下列网站及场所发布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惠州市公共资源交易中心网：</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"http://zyjy.huizhou.gov.cn"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http://zyjy.huizhou.gov.cn</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696969"/>
          <w:sz w:val="32"/>
          <w:szCs w:val="32"/>
          <w:highlight w:val="none"/>
        </w:rPr>
      </w:pPr>
      <w:r>
        <w:rPr>
          <w:rFonts w:hint="eastAsia" w:ascii="仿宋_GB2312" w:hAnsi="仿宋_GB2312" w:eastAsia="仿宋_GB2312" w:cs="仿宋_GB2312"/>
          <w:sz w:val="32"/>
          <w:szCs w:val="32"/>
          <w:highlight w:val="none"/>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罗工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eastAsia"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2021年11月3日</w:t>
      </w: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附表</w:t>
      </w:r>
    </w:p>
    <w:p>
      <w:pPr>
        <w:tabs>
          <w:tab w:val="left" w:pos="9720"/>
        </w:tabs>
        <w:spacing w:line="360" w:lineRule="auto"/>
        <w:jc w:val="center"/>
        <w:rPr>
          <w:rFonts w:hint="default" w:ascii="Times New Roman" w:hAnsi="Times New Roman" w:eastAsia="方正小标宋_GBK" w:cs="Times New Roman"/>
          <w:b/>
          <w:sz w:val="36"/>
          <w:szCs w:val="36"/>
          <w:highlight w:val="none"/>
        </w:rPr>
      </w:pPr>
      <w:r>
        <w:rPr>
          <w:rFonts w:hint="default" w:ascii="Times New Roman" w:hAnsi="Times New Roman" w:eastAsia="方正小标宋_GBK" w:cs="Times New Roman"/>
          <w:b/>
          <w:sz w:val="36"/>
          <w:szCs w:val="36"/>
          <w:highlight w:val="none"/>
        </w:rPr>
        <w:t>网上挂牌出让地块规划建设指标</w:t>
      </w:r>
    </w:p>
    <w:tbl>
      <w:tblPr>
        <w:tblStyle w:val="9"/>
        <w:tblpPr w:leftFromText="180" w:rightFromText="180" w:vertAnchor="text" w:tblpXSpec="center" w:tblpY="1"/>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08"/>
        <w:gridCol w:w="668"/>
        <w:gridCol w:w="473"/>
        <w:gridCol w:w="1004"/>
        <w:gridCol w:w="1005"/>
        <w:gridCol w:w="772"/>
        <w:gridCol w:w="645"/>
        <w:gridCol w:w="1088"/>
        <w:gridCol w:w="945"/>
        <w:gridCol w:w="986"/>
        <w:gridCol w:w="74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2"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挂牌地块编号</w:t>
            </w:r>
          </w:p>
        </w:tc>
        <w:tc>
          <w:tcPr>
            <w:tcW w:w="608"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位置</w:t>
            </w:r>
          </w:p>
        </w:tc>
        <w:tc>
          <w:tcPr>
            <w:tcW w:w="668"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lang w:val="en-US" w:eastAsia="zh-CN"/>
              </w:rPr>
              <w:t>用地</w:t>
            </w:r>
            <w:r>
              <w:rPr>
                <w:rFonts w:hint="default" w:ascii="Times New Roman" w:hAnsi="Times New Roman" w:eastAsia="仿宋_GB2312" w:cs="Times New Roman"/>
                <w:b/>
                <w:bCs/>
                <w:szCs w:val="21"/>
              </w:rPr>
              <w:t>编号</w:t>
            </w:r>
          </w:p>
        </w:tc>
        <w:tc>
          <w:tcPr>
            <w:tcW w:w="473"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用途</w:t>
            </w:r>
          </w:p>
        </w:tc>
        <w:tc>
          <w:tcPr>
            <w:tcW w:w="7186" w:type="dxa"/>
            <w:gridSpan w:val="8"/>
            <w:vAlign w:val="center"/>
          </w:tcPr>
          <w:p>
            <w:pPr>
              <w:adjustRightInd w:val="0"/>
              <w:snapToGrid w:val="0"/>
              <w:spacing w:line="320" w:lineRule="exact"/>
              <w:ind w:left="1" w:leftChars="-89" w:hanging="188" w:hangingChars="89"/>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规划指标要求</w:t>
            </w:r>
          </w:p>
        </w:tc>
        <w:tc>
          <w:tcPr>
            <w:tcW w:w="677"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702"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0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6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473"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1004"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计算指标用地面积</w:t>
            </w:r>
          </w:p>
        </w:tc>
        <w:tc>
          <w:tcPr>
            <w:tcW w:w="1005" w:type="dxa"/>
            <w:vAlign w:val="center"/>
          </w:tcPr>
          <w:p>
            <w:pPr>
              <w:autoSpaceDE w:val="0"/>
              <w:autoSpaceDN w:val="0"/>
              <w:adjustRightInd w:val="0"/>
              <w:spacing w:line="240" w:lineRule="exact"/>
              <w:jc w:val="center"/>
              <w:rPr>
                <w:rFonts w:hint="default" w:ascii="Times New Roman" w:hAnsi="Times New Roman" w:cs="Times New Roman"/>
                <w:b/>
                <w:bCs/>
                <w:szCs w:val="21"/>
              </w:rPr>
            </w:pPr>
            <w:r>
              <w:rPr>
                <w:rFonts w:hint="default" w:ascii="Times New Roman" w:hAnsi="Times New Roman" w:eastAsia="仿宋_GB2312" w:cs="Times New Roman"/>
                <w:b/>
                <w:bCs/>
                <w:szCs w:val="21"/>
              </w:rPr>
              <w:t>宗地使用权面积</w:t>
            </w:r>
          </w:p>
        </w:tc>
        <w:tc>
          <w:tcPr>
            <w:tcW w:w="772"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建筑密度</w:t>
            </w:r>
          </w:p>
        </w:tc>
        <w:tc>
          <w:tcPr>
            <w:tcW w:w="645"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容积率</w:t>
            </w:r>
          </w:p>
        </w:tc>
        <w:tc>
          <w:tcPr>
            <w:tcW w:w="1088"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计容积率建筑面积</w:t>
            </w:r>
          </w:p>
        </w:tc>
        <w:tc>
          <w:tcPr>
            <w:tcW w:w="945" w:type="dxa"/>
            <w:vAlign w:val="center"/>
          </w:tcPr>
          <w:p>
            <w:pPr>
              <w:autoSpaceDE w:val="0"/>
              <w:autoSpaceDN w:val="0"/>
              <w:adjustRightInd w:val="0"/>
              <w:spacing w:line="240" w:lineRule="exact"/>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绿地率</w:t>
            </w:r>
          </w:p>
        </w:tc>
        <w:tc>
          <w:tcPr>
            <w:tcW w:w="986" w:type="dxa"/>
            <w:vAlign w:val="center"/>
          </w:tcPr>
          <w:p>
            <w:pPr>
              <w:autoSpaceDE w:val="0"/>
              <w:autoSpaceDN w:val="0"/>
              <w:adjustRightInd w:val="0"/>
              <w:spacing w:line="240" w:lineRule="exact"/>
              <w:jc w:val="center"/>
              <w:rPr>
                <w:rFonts w:hint="default" w:ascii="Times New Roman" w:hAnsi="Times New Roman" w:eastAsia="宋体" w:cs="Times New Roman"/>
                <w:b/>
                <w:bCs/>
                <w:szCs w:val="21"/>
                <w:lang w:eastAsia="zh-CN"/>
              </w:rPr>
            </w:pPr>
            <w:r>
              <w:rPr>
                <w:rFonts w:hint="default" w:ascii="Times New Roman" w:hAnsi="Times New Roman" w:eastAsia="仿宋_GB2312" w:cs="Times New Roman"/>
                <w:b/>
                <w:szCs w:val="21"/>
                <w:lang w:eastAsia="zh-CN"/>
              </w:rPr>
              <w:t>机动车停车位（个）</w:t>
            </w:r>
          </w:p>
        </w:tc>
        <w:tc>
          <w:tcPr>
            <w:tcW w:w="741"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szCs w:val="21"/>
              </w:rPr>
              <w:t>适建性</w:t>
            </w:r>
          </w:p>
        </w:tc>
        <w:tc>
          <w:tcPr>
            <w:tcW w:w="677" w:type="dxa"/>
            <w:vAlign w:val="center"/>
          </w:tcPr>
          <w:p>
            <w:pPr>
              <w:autoSpaceDE w:val="0"/>
              <w:autoSpaceDN w:val="0"/>
              <w:adjustRightInd w:val="0"/>
              <w:spacing w:line="240" w:lineRule="exact"/>
              <w:jc w:val="both"/>
              <w:rPr>
                <w:rFonts w:hint="default" w:ascii="Times New Roman" w:hAnsi="Times New Roman" w:eastAsia="仿宋_GB2312" w:cs="Times New Roman"/>
                <w:b/>
                <w:bCs/>
                <w:lang w:val="en-US" w:eastAsia="zh-CN"/>
              </w:rPr>
            </w:pPr>
            <w:r>
              <w:rPr>
                <w:rFonts w:hint="eastAsia" w:eastAsia="仿宋_GB2312" w:cs="Times New Roman"/>
                <w:b/>
                <w:bCs/>
                <w:lang w:val="en-US" w:eastAsia="zh-CN"/>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702" w:type="dxa"/>
            <w:tcMar>
              <w:left w:w="0" w:type="dxa"/>
              <w:right w:w="0" w:type="dxa"/>
            </w:tcMar>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GP2021</w:t>
            </w:r>
          </w:p>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-47</w:t>
            </w:r>
          </w:p>
        </w:tc>
        <w:tc>
          <w:tcPr>
            <w:tcW w:w="608"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惠州市金山新城湖山片区JSH-B04-27-02地块</w:t>
            </w:r>
          </w:p>
        </w:tc>
        <w:tc>
          <w:tcPr>
            <w:tcW w:w="668"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JSH-B04-27-02地块</w:t>
            </w:r>
          </w:p>
        </w:tc>
        <w:tc>
          <w:tcPr>
            <w:tcW w:w="473" w:type="dxa"/>
            <w:tcMar>
              <w:left w:w="0" w:type="dxa"/>
              <w:right w:w="0" w:type="dxa"/>
            </w:tcMar>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二类城镇</w:t>
            </w:r>
            <w:r>
              <w:rPr>
                <w:rFonts w:hint="default" w:ascii="仿宋_GB2312" w:hAnsi="仿宋_GB2312" w:eastAsia="仿宋_GB2312" w:cs="仿宋_GB2312"/>
                <w:szCs w:val="21"/>
                <w:highlight w:val="none"/>
                <w:lang w:val="en-US" w:eastAsia="zh-CN"/>
              </w:rPr>
              <w:t>住宅及商服用地</w:t>
            </w:r>
          </w:p>
        </w:tc>
        <w:tc>
          <w:tcPr>
            <w:tcW w:w="1004"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35477㎡</w:t>
            </w:r>
          </w:p>
        </w:tc>
        <w:tc>
          <w:tcPr>
            <w:tcW w:w="1005"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28517.97㎡</w:t>
            </w:r>
          </w:p>
        </w:tc>
        <w:tc>
          <w:tcPr>
            <w:tcW w:w="772"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val="en-US" w:eastAsia="zh-CN"/>
              </w:rPr>
              <w:t>22%</w:t>
            </w:r>
          </w:p>
        </w:tc>
        <w:tc>
          <w:tcPr>
            <w:tcW w:w="645"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val="en-US" w:eastAsia="zh-CN"/>
              </w:rPr>
              <w:t>3.1</w:t>
            </w:r>
          </w:p>
        </w:tc>
        <w:tc>
          <w:tcPr>
            <w:tcW w:w="1088"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≤109978㎡(其中：商业服务业建筑面积≤5%；配套设施建筑面积＞585㎡）</w:t>
            </w:r>
          </w:p>
        </w:tc>
        <w:tc>
          <w:tcPr>
            <w:tcW w:w="945"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lang w:val="en-US" w:eastAsia="zh-CN"/>
              </w:rPr>
              <w:t>5</w:t>
            </w:r>
            <w:r>
              <w:rPr>
                <w:rFonts w:hint="default" w:ascii="仿宋_GB2312" w:hAnsi="仿宋_GB2312" w:eastAsia="仿宋_GB2312" w:cs="仿宋_GB2312"/>
                <w:szCs w:val="21"/>
                <w:highlight w:val="none"/>
                <w:lang w:val="en-US" w:eastAsia="zh-CN"/>
              </w:rPr>
              <w:t>%</w:t>
            </w:r>
          </w:p>
        </w:tc>
        <w:tc>
          <w:tcPr>
            <w:tcW w:w="986"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每100㎡计容积率建筑面积≥1个</w:t>
            </w:r>
          </w:p>
        </w:tc>
        <w:tc>
          <w:tcPr>
            <w:tcW w:w="741"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住宅、</w:t>
            </w:r>
            <w:r>
              <w:rPr>
                <w:rFonts w:hint="default" w:ascii="仿宋_GB2312" w:hAnsi="仿宋_GB2312" w:eastAsia="仿宋_GB2312" w:cs="仿宋_GB2312"/>
                <w:szCs w:val="21"/>
                <w:highlight w:val="none"/>
                <w:lang w:val="en-US" w:eastAsia="zh-CN"/>
              </w:rPr>
              <w:t>商业服务业及配套设施</w:t>
            </w:r>
          </w:p>
        </w:tc>
        <w:tc>
          <w:tcPr>
            <w:tcW w:w="677"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城镇住宅用地70年、商服用地40年</w:t>
            </w:r>
          </w:p>
        </w:tc>
      </w:tr>
    </w:tbl>
    <w:p>
      <w:pPr>
        <w:tabs>
          <w:tab w:val="left" w:pos="11340"/>
        </w:tabs>
        <w:spacing w:line="600" w:lineRule="exact"/>
        <w:rPr>
          <w:rFonts w:hint="default" w:ascii="Times New Roman" w:hAnsi="Times New Roman" w:eastAsia="仿宋_GB2312" w:cs="Times New Roman"/>
          <w:sz w:val="32"/>
          <w:szCs w:val="32"/>
          <w:highlight w:val="none"/>
        </w:rPr>
      </w:pPr>
    </w:p>
    <w:p>
      <w:pPr>
        <w:rPr>
          <w:rFonts w:hint="default" w:ascii="Times New Roman" w:hAnsi="Times New Roman" w:cs="Times New Roman"/>
          <w:highlight w:val="none"/>
        </w:rPr>
      </w:pPr>
    </w:p>
    <w:p>
      <w:pPr>
        <w:spacing w:line="360" w:lineRule="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eastAsia"/>
      </w:rPr>
    </w:pPr>
  </w:p>
  <w:p>
    <w:pPr>
      <w:pStyle w:val="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45C3FD8"/>
    <w:rsid w:val="046368B3"/>
    <w:rsid w:val="04687A90"/>
    <w:rsid w:val="047C6F5A"/>
    <w:rsid w:val="069C76D6"/>
    <w:rsid w:val="07386886"/>
    <w:rsid w:val="07895069"/>
    <w:rsid w:val="07CF5BB3"/>
    <w:rsid w:val="07E97CE1"/>
    <w:rsid w:val="082B1937"/>
    <w:rsid w:val="09B41FDD"/>
    <w:rsid w:val="09EF4B5F"/>
    <w:rsid w:val="0B78752F"/>
    <w:rsid w:val="0B7A084A"/>
    <w:rsid w:val="0D167AC3"/>
    <w:rsid w:val="0D430223"/>
    <w:rsid w:val="0DF23899"/>
    <w:rsid w:val="0E177AE2"/>
    <w:rsid w:val="0E7A65F6"/>
    <w:rsid w:val="101D3BC2"/>
    <w:rsid w:val="10BD4DFA"/>
    <w:rsid w:val="137618AF"/>
    <w:rsid w:val="13D50F1B"/>
    <w:rsid w:val="161D2710"/>
    <w:rsid w:val="167673A1"/>
    <w:rsid w:val="16AA6FD1"/>
    <w:rsid w:val="16D56AAC"/>
    <w:rsid w:val="172121EB"/>
    <w:rsid w:val="17AA0480"/>
    <w:rsid w:val="17D36568"/>
    <w:rsid w:val="17F82A54"/>
    <w:rsid w:val="182A781E"/>
    <w:rsid w:val="188D227F"/>
    <w:rsid w:val="192F711A"/>
    <w:rsid w:val="1A0B2C56"/>
    <w:rsid w:val="1AA5305E"/>
    <w:rsid w:val="1ADB0E54"/>
    <w:rsid w:val="1B9E531A"/>
    <w:rsid w:val="1C5904D7"/>
    <w:rsid w:val="1CD57BAD"/>
    <w:rsid w:val="1D7069CD"/>
    <w:rsid w:val="1DE30B94"/>
    <w:rsid w:val="1E862B6D"/>
    <w:rsid w:val="1F7C2358"/>
    <w:rsid w:val="1FB07F91"/>
    <w:rsid w:val="20ED2229"/>
    <w:rsid w:val="210A61AB"/>
    <w:rsid w:val="217817B2"/>
    <w:rsid w:val="22890C8D"/>
    <w:rsid w:val="23A027B1"/>
    <w:rsid w:val="24E51F89"/>
    <w:rsid w:val="25251515"/>
    <w:rsid w:val="27A65DB8"/>
    <w:rsid w:val="28774868"/>
    <w:rsid w:val="28C60AA0"/>
    <w:rsid w:val="2A6B42FA"/>
    <w:rsid w:val="2A870225"/>
    <w:rsid w:val="2AAC048C"/>
    <w:rsid w:val="2B5D4967"/>
    <w:rsid w:val="2F020615"/>
    <w:rsid w:val="304C7078"/>
    <w:rsid w:val="31CE6D72"/>
    <w:rsid w:val="33861F14"/>
    <w:rsid w:val="33DD4339"/>
    <w:rsid w:val="35335FA2"/>
    <w:rsid w:val="36061489"/>
    <w:rsid w:val="36885460"/>
    <w:rsid w:val="372361B7"/>
    <w:rsid w:val="37607760"/>
    <w:rsid w:val="380440B7"/>
    <w:rsid w:val="381E07C6"/>
    <w:rsid w:val="38387384"/>
    <w:rsid w:val="38BD14D1"/>
    <w:rsid w:val="3C13026D"/>
    <w:rsid w:val="3C8078D7"/>
    <w:rsid w:val="3DDC60B5"/>
    <w:rsid w:val="3FF04DBA"/>
    <w:rsid w:val="40231E47"/>
    <w:rsid w:val="40363F40"/>
    <w:rsid w:val="409256E4"/>
    <w:rsid w:val="409E7D83"/>
    <w:rsid w:val="40B33D72"/>
    <w:rsid w:val="411B39E1"/>
    <w:rsid w:val="414E681A"/>
    <w:rsid w:val="42CE6157"/>
    <w:rsid w:val="4333178A"/>
    <w:rsid w:val="43706132"/>
    <w:rsid w:val="44966F93"/>
    <w:rsid w:val="45C047BF"/>
    <w:rsid w:val="47AF3E70"/>
    <w:rsid w:val="495B6193"/>
    <w:rsid w:val="4A1228DB"/>
    <w:rsid w:val="4A1B1ECC"/>
    <w:rsid w:val="4AE74DD0"/>
    <w:rsid w:val="4C2E14D5"/>
    <w:rsid w:val="4C956C10"/>
    <w:rsid w:val="4D1610A1"/>
    <w:rsid w:val="4DF35994"/>
    <w:rsid w:val="4EC91786"/>
    <w:rsid w:val="4F861E18"/>
    <w:rsid w:val="512A0AC6"/>
    <w:rsid w:val="538C505C"/>
    <w:rsid w:val="540106D5"/>
    <w:rsid w:val="546946EF"/>
    <w:rsid w:val="565101CA"/>
    <w:rsid w:val="567F481B"/>
    <w:rsid w:val="5787561C"/>
    <w:rsid w:val="578E459E"/>
    <w:rsid w:val="57A3234F"/>
    <w:rsid w:val="57C844D5"/>
    <w:rsid w:val="57EA41E9"/>
    <w:rsid w:val="594D206E"/>
    <w:rsid w:val="596A13D8"/>
    <w:rsid w:val="5A893EB0"/>
    <w:rsid w:val="5AF873B7"/>
    <w:rsid w:val="5D241B5A"/>
    <w:rsid w:val="5D471E01"/>
    <w:rsid w:val="5E3B0440"/>
    <w:rsid w:val="606821F3"/>
    <w:rsid w:val="60AD2817"/>
    <w:rsid w:val="623F28DB"/>
    <w:rsid w:val="63AA2C72"/>
    <w:rsid w:val="63CE4A87"/>
    <w:rsid w:val="64D925C4"/>
    <w:rsid w:val="64E467ED"/>
    <w:rsid w:val="65651799"/>
    <w:rsid w:val="669A56E0"/>
    <w:rsid w:val="68527CA2"/>
    <w:rsid w:val="692A6240"/>
    <w:rsid w:val="6B6E278B"/>
    <w:rsid w:val="6BE509C5"/>
    <w:rsid w:val="6C72571A"/>
    <w:rsid w:val="6E0C0E77"/>
    <w:rsid w:val="6EB83079"/>
    <w:rsid w:val="6EC11C99"/>
    <w:rsid w:val="6ED476F5"/>
    <w:rsid w:val="6F3F769A"/>
    <w:rsid w:val="6F4B3B48"/>
    <w:rsid w:val="6FF0551C"/>
    <w:rsid w:val="700A52E4"/>
    <w:rsid w:val="700B25B1"/>
    <w:rsid w:val="727D44B4"/>
    <w:rsid w:val="728D40FC"/>
    <w:rsid w:val="7291218D"/>
    <w:rsid w:val="736D1677"/>
    <w:rsid w:val="73BE7EBD"/>
    <w:rsid w:val="73F22758"/>
    <w:rsid w:val="748840AA"/>
    <w:rsid w:val="761352C3"/>
    <w:rsid w:val="765425FB"/>
    <w:rsid w:val="7774343F"/>
    <w:rsid w:val="77DD303C"/>
    <w:rsid w:val="782A0826"/>
    <w:rsid w:val="787C1591"/>
    <w:rsid w:val="79E82C45"/>
    <w:rsid w:val="7AD36021"/>
    <w:rsid w:val="7B832F79"/>
    <w:rsid w:val="7D060077"/>
    <w:rsid w:val="7E592347"/>
    <w:rsid w:val="7F252698"/>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spacing w:line="360" w:lineRule="auto"/>
      <w:ind w:firstLine="420"/>
    </w:pPr>
    <w:rPr>
      <w:sz w:val="28"/>
      <w:szCs w:val="20"/>
    </w:r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2021-10-29T03:06:00Z</cp:lastPrinted>
  <dcterms:modified xsi:type="dcterms:W3CDTF">2021-11-03T09:54:43Z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