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（一）挂牌地块编号：GP20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）地块位置：惠州市惠城区江北片南区JB4-2-3地块;</w:t>
      </w:r>
    </w:p>
    <w:p>
      <w:pPr>
        <w:tabs>
          <w:tab w:val="left" w:pos="3388"/>
        </w:tabs>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（三）规划编号：JB4-2-3;</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（四）地块范围：</w:t>
      </w:r>
      <w:r>
        <w:rPr>
          <w:rFonts w:hint="default" w:ascii="Times New Roman" w:hAnsi="Times New Roman" w:eastAsia="仿宋_GB2312" w:cs="Times New Roman"/>
          <w:kern w:val="2"/>
          <w:sz w:val="32"/>
          <w:szCs w:val="32"/>
        </w:rPr>
        <w:t>平面界址点</w:t>
      </w:r>
      <w:r>
        <w:rPr>
          <w:rFonts w:hint="default" w:ascii="Times New Roman" w:hAnsi="Times New Roman" w:eastAsia="仿宋_GB2312" w:cs="Times New Roman"/>
          <w:kern w:val="2"/>
          <w:sz w:val="32"/>
          <w:szCs w:val="32"/>
          <w:lang w:eastAsia="zh-CN"/>
        </w:rPr>
        <w:t>以建设用地红线图</w:t>
      </w:r>
      <w:r>
        <w:rPr>
          <w:rFonts w:hint="default" w:ascii="Times New Roman" w:hAnsi="Times New Roman" w:eastAsia="仿宋_GB2312" w:cs="Times New Roman"/>
          <w:kern w:val="2"/>
          <w:sz w:val="32"/>
          <w:szCs w:val="32"/>
        </w:rPr>
        <w:t>为准，宗地竖向界限以《规划设计条件告知书（案卷编号：</w:t>
      </w:r>
      <w:r>
        <w:rPr>
          <w:rFonts w:hint="default" w:ascii="Times New Roman" w:hAnsi="Times New Roman" w:eastAsia="仿宋_GB2312" w:cs="Times New Roman"/>
          <w:kern w:val="2"/>
          <w:sz w:val="32"/>
          <w:szCs w:val="32"/>
          <w:lang w:bidi="ar-SA"/>
        </w:rPr>
        <w:t>PB202100</w:t>
      </w:r>
      <w:r>
        <w:rPr>
          <w:rFonts w:hint="eastAsia" w:ascii="Times New Roman" w:hAnsi="Times New Roman" w:eastAsia="仿宋_GB2312" w:cs="Times New Roman"/>
          <w:kern w:val="2"/>
          <w:sz w:val="32"/>
          <w:szCs w:val="32"/>
          <w:lang w:val="en-US" w:eastAsia="zh-CN" w:bidi="ar-SA"/>
        </w:rPr>
        <w:t>32</w:t>
      </w:r>
      <w:r>
        <w:rPr>
          <w:rFonts w:hint="default" w:ascii="Times New Roman" w:hAnsi="Times New Roman" w:eastAsia="仿宋_GB2312" w:cs="Times New Roman"/>
          <w:kern w:val="2"/>
          <w:sz w:val="32"/>
          <w:szCs w:val="32"/>
        </w:rPr>
        <w:t>）》规定为准</w:t>
      </w:r>
      <w:r>
        <w:rPr>
          <w:rFonts w:hint="eastAsia" w:ascii="仿宋_GB2312" w:hAnsi="仿宋_GB2312" w:eastAsia="仿宋_GB2312" w:cs="仿宋_GB2312"/>
          <w:sz w:val="32"/>
          <w:szCs w:val="32"/>
        </w:rPr>
        <w:t>；</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宗地使用权面积为：5528.37平方米；</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（六）计算指标用地面积为：9195.09平方米；</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（七）计容积率建筑面积为：≤28504（其中商业建筑面积的比例≤5%，配套设施建筑面积＞1345 ）；</w:t>
      </w:r>
    </w:p>
    <w:p>
      <w:pPr>
        <w:tabs>
          <w:tab w:val="left" w:pos="840"/>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（八）容积率为：≤3.1；</w:t>
      </w:r>
    </w:p>
    <w:p>
      <w:pPr>
        <w:tabs>
          <w:tab w:val="left" w:pos="840"/>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（九）建筑密度为：≤25％（其中住宅净密度≤22％）；</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十）绿地率为：≥30％；</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）机动车停车位配建标准</w:t>
      </w:r>
      <w:r>
        <w:rPr>
          <w:rFonts w:hint="eastAsia" w:ascii="仿宋_GB2312" w:hAnsi="仿宋_GB2312" w:eastAsia="仿宋_GB2312" w:cs="仿宋_GB2312"/>
          <w:sz w:val="32"/>
          <w:szCs w:val="32"/>
          <w:lang w:eastAsia="zh-CN"/>
        </w:rPr>
        <w:t>：每100平方米计容积率建筑面积≥1个。地面停车位数量不宜超过住宅总套数的10%。住宅配建停车位必须100%建设充电设施或预留建设安装条件。商业配建停车位应不低于总停车位的20%建设充电设施或预留建设安装条件</w:t>
      </w:r>
      <w:r>
        <w:rPr>
          <w:rFonts w:hint="eastAsia" w:ascii="仿宋_GB2312" w:hAnsi="仿宋_GB2312" w:eastAsia="仿宋_GB2312" w:cs="仿宋_GB2312"/>
          <w:sz w:val="32"/>
          <w:szCs w:val="32"/>
          <w:lang w:val="en-US" w:eastAsia="zh-CN"/>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）土地用途为：二类城镇住宅、商服用地；</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）土地使用权出让年期为：住宅用地70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、商服用地40</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）适建性：住宅、商业及配套设施；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）动工及竣工时间：</w:t>
      </w:r>
      <w:r>
        <w:rPr>
          <w:rFonts w:hint="default" w:ascii="Times New Roman" w:hAnsi="Times New Roman" w:eastAsia="仿宋_GB2312" w:cs="Times New Roman"/>
          <w:kern w:val="2"/>
          <w:sz w:val="32"/>
          <w:szCs w:val="32"/>
        </w:rPr>
        <w:t>地块动工时间为地块交付之日起一年内，竣工时间为动工之日起三年内（因不可抗拒因素除外）</w:t>
      </w:r>
      <w:r>
        <w:rPr>
          <w:rFonts w:hint="eastAsia" w:ascii="仿宋_GB2312" w:hAnsi="仿宋_GB2312" w:eastAsia="仿宋_GB2312" w:cs="仿宋_GB2312"/>
          <w:sz w:val="32"/>
          <w:szCs w:val="32"/>
        </w:rPr>
        <w:t>；</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竞得人在缴清地价款后一个月内办理交地手续，凭《交地确认书》</w:t>
      </w:r>
      <w:r>
        <w:rPr>
          <w:rFonts w:hint="default" w:ascii="Times New Roman" w:hAnsi="Times New Roman" w:eastAsia="仿宋_GB2312" w:cs="Times New Roman"/>
          <w:sz w:val="32"/>
          <w:szCs w:val="32"/>
          <w:lang w:eastAsia="zh-CN"/>
        </w:rPr>
        <w:t>、《出让合同》（</w:t>
      </w:r>
      <w:r>
        <w:rPr>
          <w:rFonts w:hint="default" w:ascii="Times New Roman" w:hAnsi="Times New Roman" w:eastAsia="仿宋_GB2312" w:cs="Times New Roman"/>
          <w:sz w:val="32"/>
          <w:szCs w:val="32"/>
          <w:lang w:val="en-US" w:eastAsia="zh-CN"/>
        </w:rPr>
        <w:t>正本</w:t>
      </w:r>
      <w:r>
        <w:rPr>
          <w:rFonts w:hint="default" w:ascii="Times New Roman" w:hAnsi="Times New Roman" w:eastAsia="仿宋_GB2312" w:cs="Times New Roman"/>
          <w:sz w:val="32"/>
          <w:szCs w:val="32"/>
          <w:lang w:eastAsia="zh-CN"/>
        </w:rPr>
        <w:t>）和地价款交款凭证等</w:t>
      </w:r>
      <w:r>
        <w:rPr>
          <w:rFonts w:hint="default" w:ascii="Times New Roman" w:hAnsi="Times New Roman" w:eastAsia="仿宋_GB2312" w:cs="Times New Roman"/>
          <w:sz w:val="32"/>
          <w:szCs w:val="32"/>
        </w:rPr>
        <w:t>申请办理土地初始登记，领取《不动产权证书》</w:t>
      </w:r>
      <w:r>
        <w:rPr>
          <w:rFonts w:hint="eastAsia" w:ascii="仿宋_GB2312" w:hAnsi="仿宋_GB2312" w:eastAsia="仿宋_GB2312" w:cs="仿宋_GB2312"/>
          <w:sz w:val="32"/>
          <w:szCs w:val="32"/>
        </w:rPr>
        <w:t xml:space="preserve">。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Times New Roman" w:hAnsi="Times New Roman" w:eastAsia="仿宋_GB2312" w:cs="Times New Roman"/>
          <w:kern w:val="2"/>
          <w:sz w:val="32"/>
          <w:szCs w:val="22"/>
          <w:lang w:val="en-US" w:eastAsia="zh-CN" w:bidi="ar-SA"/>
        </w:rPr>
        <w:t>28500</w:t>
      </w:r>
      <w:r>
        <w:rPr>
          <w:rFonts w:hint="default" w:ascii="Times New Roman" w:hAnsi="Times New Roman" w:eastAsia="仿宋_GB2312" w:cs="Times New Roman"/>
          <w:sz w:val="32"/>
          <w:szCs w:val="32"/>
        </w:rPr>
        <w:t>万元（含地价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不含地价溢价部分）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）土地成交价款须以人民币支付,竞得人在签订《出让合同》之日起30日内付清全部成交价款。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w:t>
      </w:r>
      <w:r>
        <w:rPr>
          <w:rFonts w:hint="eastAsia" w:eastAsia="仿宋_GB2312" w:cs="Times New Roman"/>
          <w:kern w:val="2"/>
          <w:sz w:val="32"/>
          <w:szCs w:val="32"/>
          <w:lang w:val="en-US" w:eastAsia="zh-CN"/>
        </w:rPr>
        <w:t>三</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sz w:val="32"/>
          <w:szCs w:val="32"/>
        </w:rPr>
        <w:t>该地权利清晰，安置补偿落实到位，没有法律经济纠纷，具备动工开发所必须的基本条件</w:t>
      </w:r>
      <w:r>
        <w:rPr>
          <w:rFonts w:hint="default" w:ascii="Times New Roman" w:hAnsi="Times New Roman" w:eastAsia="仿宋_GB2312" w:cs="Times New Roman"/>
          <w:kern w:val="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w:t>
      </w:r>
      <w:r>
        <w:rPr>
          <w:rFonts w:hint="eastAsia" w:ascii="仿宋_GB2312" w:hAnsi="仿宋_GB2312" w:eastAsia="仿宋_GB2312" w:cs="仿宋_GB2312"/>
          <w:sz w:val="32"/>
          <w:szCs w:val="32"/>
        </w:rPr>
        <w:t>竞得人在用地红线内开发建设必须符合城市规划要求，必须按</w:t>
      </w:r>
      <w:r>
        <w:rPr>
          <w:rFonts w:hint="default" w:ascii="Times New Roman" w:hAnsi="Times New Roman" w:eastAsia="仿宋_GB2312" w:cs="Times New Roman"/>
          <w:kern w:val="2"/>
          <w:sz w:val="32"/>
          <w:szCs w:val="32"/>
        </w:rPr>
        <w:t>《规划设计条件告知书（案卷编号：</w:t>
      </w:r>
      <w:r>
        <w:rPr>
          <w:rFonts w:hint="default" w:ascii="Times New Roman" w:hAnsi="Times New Roman" w:eastAsia="仿宋_GB2312" w:cs="Times New Roman"/>
          <w:kern w:val="2"/>
          <w:sz w:val="32"/>
          <w:szCs w:val="32"/>
          <w:lang w:bidi="ar-SA"/>
        </w:rPr>
        <w:t>PB202100</w:t>
      </w:r>
      <w:r>
        <w:rPr>
          <w:rFonts w:hint="eastAsia" w:ascii="Times New Roman" w:hAnsi="Times New Roman" w:eastAsia="仿宋_GB2312" w:cs="Times New Roman"/>
          <w:kern w:val="2"/>
          <w:sz w:val="32"/>
          <w:szCs w:val="32"/>
          <w:lang w:val="en-US" w:eastAsia="zh-CN" w:bidi="ar-SA"/>
        </w:rPr>
        <w:t>32</w:t>
      </w:r>
      <w:r>
        <w:rPr>
          <w:rFonts w:hint="default" w:ascii="Times New Roman" w:hAnsi="Times New Roman" w:eastAsia="仿宋_GB2312" w:cs="Times New Roman"/>
          <w:kern w:val="2"/>
          <w:sz w:val="32"/>
          <w:szCs w:val="32"/>
        </w:rPr>
        <w:t>）》</w:t>
      </w:r>
      <w:r>
        <w:rPr>
          <w:rFonts w:hint="eastAsia" w:ascii="仿宋_GB2312" w:hAnsi="仿宋_GB2312" w:eastAsia="仿宋_GB2312" w:cs="仿宋_GB2312"/>
          <w:sz w:val="32"/>
          <w:szCs w:val="32"/>
        </w:rPr>
        <w:t>规划控制指标要求及有关规定进行规划设计</w:t>
      </w:r>
      <w:r>
        <w:rPr>
          <w:rFonts w:hint="default" w:ascii="Times New Roman" w:hAnsi="Times New Roman" w:eastAsia="仿宋_GB2312" w:cs="Times New Roman"/>
          <w:kern w:val="2"/>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kern w:val="2"/>
          <w:sz w:val="32"/>
          <w:szCs w:val="32"/>
          <w:lang w:val="en-US" w:eastAsia="zh-CN"/>
        </w:rPr>
        <w:t>（五）</w:t>
      </w:r>
      <w:r>
        <w:rPr>
          <w:rFonts w:hint="default" w:ascii="Times New Roman" w:hAnsi="Times New Roman" w:eastAsia="仿宋_GB2312" w:cs="Times New Roman"/>
          <w:color w:val="auto"/>
          <w:sz w:val="32"/>
          <w:szCs w:val="32"/>
          <w:highlight w:val="none"/>
        </w:rPr>
        <w:t>该地块所建单套毛坯商品住宅销售单价不高于18694元/㎡</w:t>
      </w:r>
      <w:r>
        <w:rPr>
          <w:rFonts w:hint="eastAsia" w:ascii="Times New Roman" w:hAnsi="Times New Roman" w:eastAsia="仿宋_GB2312" w:cs="Times New Roman"/>
          <w:kern w:val="2"/>
          <w:sz w:val="32"/>
          <w:szCs w:val="32"/>
          <w:lang w:val="en-US" w:eastAsia="zh-CN"/>
        </w:rPr>
        <w:t>。</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default" w:ascii="Times New Roman" w:hAnsi="Times New Roman" w:eastAsia="仿宋_GB2312" w:cs="Times New Roman"/>
          <w:sz w:val="32"/>
          <w:szCs w:val="32"/>
        </w:rPr>
        <w:t>中华人民共和国境内外的法人和其他组织（除法律法规另有规定外），符合以下要求均可申请参加竞买：竞买申请</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需具备房地产开发资质，且同一企业及控股公司只允许一家企业参与竞买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申请企业可以单独申请，也可以联合申请</w:t>
      </w:r>
      <w:r>
        <w:rPr>
          <w:rFonts w:hint="eastAsia" w:ascii="仿宋_GB2312" w:hAnsi="仿宋_GB2312" w:eastAsia="仿宋_GB2312" w:cs="仿宋_GB2312"/>
          <w:kern w:val="0"/>
          <w:sz w:val="32"/>
          <w:szCs w:val="32"/>
        </w:rPr>
        <w:t>。申请人还应具备下列条件：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5985</w:t>
      </w:r>
      <w:r>
        <w:rPr>
          <w:rFonts w:hint="eastAsia" w:ascii="仿宋_GB2312" w:hAnsi="仿宋_GB2312" w:eastAsia="仿宋_GB2312" w:cs="仿宋_GB2312"/>
          <w:kern w:val="0"/>
          <w:sz w:val="32"/>
          <w:szCs w:val="32"/>
        </w:rPr>
        <w:t>万元人民币，如以外币缴交竞买保证金的，须缴交美元</w:t>
      </w:r>
      <w:r>
        <w:rPr>
          <w:rFonts w:hint="eastAsia" w:ascii="仿宋_GB2312" w:hAnsi="仿宋_GB2312" w:eastAsia="仿宋_GB2312" w:cs="仿宋_GB2312"/>
          <w:kern w:val="0"/>
          <w:sz w:val="32"/>
          <w:szCs w:val="32"/>
          <w:lang w:val="en-US" w:eastAsia="zh-CN"/>
        </w:rPr>
        <w:t>927</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7204</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（三）存在下列违法违规违约行为之一的企业及其控股股东，不得参与竞买上述地块：</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1、存在伪造公文骗取用地和非法倒卖土地等犯罪行为的；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2、存在非法转让土地使用权等违法行为的；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3、因企业原因造成土地闲置一年以上且至报名日止未处罚完结的；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4、开发建设企业有违背出让合同约定条件开发利用土地情形且至报名日止未处罚完结的；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5、至报名日止仍拖欠政府地价款的;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6、被列入问题楼盘开发企业黑名单的;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7、购地资金超过“三道红线”，存在重大失信行为的；</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竞得人有下列行为之一的，取消竞得人资格，</w:t>
      </w:r>
      <w:r>
        <w:rPr>
          <w:rFonts w:hint="eastAsia" w:ascii="仿宋_GB2312" w:hAnsi="仿宋_GB2312" w:eastAsia="仿宋_GB2312" w:cs="仿宋_GB2312"/>
          <w:sz w:val="32"/>
          <w:szCs w:val="32"/>
          <w:lang w:val="en-US" w:eastAsia="zh-CN"/>
        </w:rPr>
        <w:t>竞买保证金不予退还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并由有关部门依法处理，</w:t>
      </w:r>
      <w:r>
        <w:rPr>
          <w:rFonts w:hint="eastAsia" w:ascii="仿宋_GB2312" w:hAnsi="仿宋_GB2312" w:eastAsia="仿宋_GB2312" w:cs="仿宋_GB2312"/>
          <w:sz w:val="32"/>
          <w:szCs w:val="32"/>
        </w:rPr>
        <w:t>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w:t>
      </w:r>
      <w:r>
        <w:rPr>
          <w:rFonts w:hint="eastAsia" w:ascii="仿宋_GB2312" w:hAnsi="仿宋_GB2312" w:eastAsia="仿宋_GB2312" w:cs="仿宋_GB2312"/>
          <w:b/>
          <w:bCs/>
          <w:sz w:val="32"/>
          <w:szCs w:val="32"/>
          <w:lang w:val="en-US" w:eastAsia="zh-CN"/>
        </w:rPr>
        <w:t>价</w:t>
      </w:r>
      <w:r>
        <w:rPr>
          <w:rFonts w:hint="eastAsia" w:ascii="仿宋_GB2312" w:hAnsi="仿宋_GB2312" w:eastAsia="仿宋_GB2312" w:cs="仿宋_GB2312"/>
          <w:b/>
          <w:bCs/>
          <w:sz w:val="32"/>
          <w:szCs w:val="32"/>
        </w:rPr>
        <w:t>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rPr>
        <w:t>挂牌起始价为人民币</w:t>
      </w:r>
      <w:r>
        <w:rPr>
          <w:rFonts w:hint="eastAsia" w:ascii="仿宋_GB2312" w:hAnsi="仿宋_GB2312" w:eastAsia="仿宋_GB2312" w:cs="仿宋_GB2312"/>
          <w:color w:val="auto"/>
          <w:sz w:val="32"/>
          <w:szCs w:val="32"/>
          <w:highlight w:val="none"/>
          <w:u w:val="single"/>
          <w:lang w:val="en-US" w:eastAsia="zh-CN"/>
        </w:rPr>
        <w:t>壹亿玖仟玖佰伍拾</w:t>
      </w:r>
      <w:r>
        <w:rPr>
          <w:rFonts w:hint="eastAsia" w:ascii="仿宋_GB2312" w:hAnsi="仿宋_GB2312" w:eastAsia="仿宋_GB2312" w:cs="仿宋_GB2312"/>
          <w:color w:val="auto"/>
          <w:sz w:val="32"/>
          <w:szCs w:val="32"/>
          <w:highlight w:val="none"/>
          <w:u w:val="single"/>
        </w:rPr>
        <w:t>万元整</w:t>
      </w:r>
      <w:r>
        <w:rPr>
          <w:rFonts w:hint="eastAsia" w:ascii="仿宋_GB2312" w:hAnsi="仿宋_GB2312" w:eastAsia="仿宋_GB2312" w:cs="仿宋_GB2312"/>
          <w:color w:val="auto"/>
          <w:sz w:val="32"/>
          <w:szCs w:val="32"/>
          <w:highlight w:val="none"/>
        </w:rPr>
        <w:t>（大写）（￥</w:t>
      </w:r>
      <w:r>
        <w:rPr>
          <w:rFonts w:hint="eastAsia" w:ascii="仿宋_GB2312" w:eastAsia="仿宋_GB2312"/>
          <w:sz w:val="32"/>
          <w:szCs w:val="32"/>
          <w:highlight w:val="none"/>
          <w:u w:val="single"/>
          <w:lang w:val="en-US" w:eastAsia="zh-CN"/>
        </w:rPr>
        <w:t>19950</w:t>
      </w:r>
      <w:r>
        <w:rPr>
          <w:rFonts w:hint="eastAsia" w:ascii="仿宋_GB2312" w:hAnsi="仿宋_GB2312" w:eastAsia="仿宋_GB2312" w:cs="仿宋_GB2312"/>
          <w:color w:val="auto"/>
          <w:sz w:val="32"/>
          <w:szCs w:val="32"/>
          <w:highlight w:val="none"/>
        </w:rPr>
        <w:t>万元）,增价幅度为人民币</w:t>
      </w:r>
      <w:r>
        <w:rPr>
          <w:rFonts w:hint="eastAsia" w:ascii="仿宋_GB2312" w:hAnsi="仿宋_GB2312" w:eastAsia="仿宋_GB2312" w:cs="仿宋_GB2312"/>
          <w:color w:val="auto"/>
          <w:sz w:val="32"/>
          <w:szCs w:val="32"/>
          <w:highlight w:val="none"/>
          <w:u w:val="single"/>
          <w:lang w:val="en-US" w:eastAsia="zh-CN"/>
        </w:rPr>
        <w:t>壹佰</w:t>
      </w:r>
      <w:r>
        <w:rPr>
          <w:rFonts w:hint="eastAsia" w:ascii="仿宋_GB2312" w:hAnsi="仿宋_GB2312" w:eastAsia="仿宋_GB2312" w:cs="仿宋_GB2312"/>
          <w:color w:val="auto"/>
          <w:sz w:val="32"/>
          <w:szCs w:val="32"/>
          <w:highlight w:val="none"/>
          <w:u w:val="single"/>
        </w:rPr>
        <w:t>万元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100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default" w:eastAsia="仿宋_GB231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Times New Roman" w:hAnsi="Times New Roman" w:eastAsia="仿宋_GB2312" w:cs="Times New Roman"/>
          <w:kern w:val="2"/>
          <w:sz w:val="32"/>
          <w:szCs w:val="32"/>
        </w:rPr>
        <w:t>《规划设计条件告知书（案卷编号：</w:t>
      </w:r>
      <w:r>
        <w:rPr>
          <w:rFonts w:hint="default" w:ascii="Times New Roman" w:hAnsi="Times New Roman" w:eastAsia="仿宋_GB2312" w:cs="Times New Roman"/>
          <w:kern w:val="2"/>
          <w:sz w:val="32"/>
          <w:szCs w:val="32"/>
          <w:lang w:bidi="ar-SA"/>
        </w:rPr>
        <w:t>PB202100</w:t>
      </w:r>
      <w:r>
        <w:rPr>
          <w:rFonts w:hint="eastAsia" w:ascii="Times New Roman" w:hAnsi="Times New Roman" w:eastAsia="仿宋_GB2312" w:cs="Times New Roman"/>
          <w:kern w:val="2"/>
          <w:sz w:val="32"/>
          <w:szCs w:val="32"/>
          <w:lang w:val="en-US" w:eastAsia="zh-CN" w:bidi="ar-SA"/>
        </w:rPr>
        <w:t>32</w:t>
      </w:r>
      <w:r>
        <w:rPr>
          <w:rFonts w:hint="default" w:ascii="Times New Roman" w:hAnsi="Times New Roman" w:eastAsia="仿宋_GB2312" w:cs="Times New Roman"/>
          <w:kern w:val="2"/>
          <w:sz w:val="32"/>
          <w:szCs w:val="32"/>
        </w:rPr>
        <w:t>）》</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（一）竞买保证金是申请人参加网上挂牌交易活动的资格条件。按规定将竞买保证金汇入指定账户，是参加网上挂牌交易活动的必经程序。</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（二）本宗地竞买保证金到账截止时间为202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伍仟玖佰捌拾伍</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Times New Roman" w:hAnsi="Times New Roman" w:cs="Times New Roman"/>
          <w:b w:val="0"/>
          <w:bCs w:val="0"/>
          <w:kern w:val="2"/>
          <w:sz w:val="32"/>
          <w:szCs w:val="32"/>
          <w:u w:val="single"/>
          <w:lang w:val="en-US" w:eastAsia="zh-CN" w:bidi="ar-SA"/>
        </w:rPr>
        <w:t>5985</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玖佰贰拾柒</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USD</w:t>
      </w:r>
      <w:r>
        <w:rPr>
          <w:rFonts w:hint="eastAsia" w:ascii="仿宋_GB2312" w:hAnsi="仿宋_GB2312" w:eastAsia="仿宋_GB2312" w:cs="仿宋_GB2312"/>
          <w:sz w:val="32"/>
          <w:szCs w:val="32"/>
          <w:u w:val="single"/>
          <w:lang w:val="en-US" w:eastAsia="zh-CN"/>
        </w:rPr>
        <w:t>927</w:t>
      </w:r>
      <w:r>
        <w:rPr>
          <w:rFonts w:hint="eastAsia" w:ascii="仿宋_GB2312" w:hAnsi="仿宋_GB2312" w:eastAsia="仿宋_GB2312" w:cs="仿宋_GB2312"/>
          <w:sz w:val="32"/>
          <w:szCs w:val="32"/>
        </w:rPr>
        <w:t>万元）或港</w:t>
      </w:r>
      <w:r>
        <w:rPr>
          <w:rFonts w:hint="eastAsia" w:ascii="仿宋_GB2312" w:hAnsi="仿宋_GB2312" w:eastAsia="仿宋_GB2312" w:cs="仿宋_GB2312"/>
          <w:sz w:val="32"/>
          <w:szCs w:val="32"/>
          <w:u w:val="none"/>
          <w:lang w:val="en-US" w:eastAsia="zh-CN"/>
        </w:rPr>
        <w:t>币</w:t>
      </w:r>
      <w:r>
        <w:rPr>
          <w:rFonts w:hint="eastAsia" w:ascii="仿宋_GB2312" w:hAnsi="仿宋_GB2312" w:eastAsia="仿宋_GB2312" w:cs="仿宋_GB2312"/>
          <w:sz w:val="32"/>
          <w:szCs w:val="32"/>
          <w:u w:val="single"/>
          <w:lang w:val="en-US" w:eastAsia="zh-CN"/>
        </w:rPr>
        <w:t>柒仟贰佰零肆</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7204</w:t>
      </w:r>
      <w:r>
        <w:rPr>
          <w:rFonts w:hint="eastAsia" w:ascii="仿宋_GB2312" w:hAnsi="仿宋_GB2312" w:eastAsia="仿宋_GB2312" w:cs="仿宋_GB2312"/>
          <w:sz w:val="32"/>
          <w:szCs w:val="32"/>
        </w:rPr>
        <w:t>万元）。</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（四）跨地区或跨行转账的竞买人，需预足资金的在途时间，以免影响竞买人及时取得竞买资格。</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（五）竞买保证金到账时间以网上挂牌交易系统颁发《保证金到账通知书》为准。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（六）竞买保证金开户单位：惠州市公共资源交易中心</w:t>
      </w:r>
    </w:p>
    <w:p>
      <w:pPr>
        <w:tabs>
          <w:tab w:val="left" w:pos="3388"/>
        </w:tabs>
        <w:spacing w:line="560" w:lineRule="exact"/>
        <w:ind w:firstLine="640" w:firstLineChars="200"/>
        <w:jc w:val="left"/>
      </w:pPr>
      <w:r>
        <w:rPr>
          <w:rFonts w:hint="eastAsia" w:ascii="仿宋_GB2312" w:hAnsi="仿宋_GB2312" w:eastAsia="仿宋_GB2312" w:cs="仿宋_GB2312"/>
          <w:sz w:val="32"/>
          <w:szCs w:val="32"/>
        </w:rPr>
        <w:t>竞买保证金账号：网上挂牌交易系统随机产生子账号。</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中国建设银行惠州广场支行。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中国工商银行股份有限公司惠州富力国际中心支行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中国农业银行惠州分行。</w:t>
      </w:r>
    </w:p>
    <w:p>
      <w:pPr>
        <w:tabs>
          <w:tab w:val="left" w:pos="3388"/>
        </w:tabs>
        <w:spacing w:line="560" w:lineRule="exact"/>
        <w:ind w:firstLine="640" w:firstLineChars="200"/>
        <w:jc w:val="left"/>
        <w:rPr>
          <w:rFonts w:hint="eastAsi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广发银行惠州江北支行。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交通银行惠州分行。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惠州市农村商业银行股份有限公司惠城支行。</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上海浦东发展银行股份有限公司惠州分行 。</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中国民生银行股份有限公司惠州分行。</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10、中国光大银行股份有限公司惠州分行。</w:t>
      </w:r>
    </w:p>
    <w:p>
      <w:pPr>
        <w:tabs>
          <w:tab w:val="left" w:pos="3388"/>
        </w:tabs>
        <w:spacing w:line="560" w:lineRule="exact"/>
        <w:ind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中信银行股份有限公司惠州分行。(备注:中信银行股份有限公司惠州分行本行转</w:t>
      </w:r>
      <w:r>
        <w:rPr>
          <w:rFonts w:hint="eastAsia" w:ascii="Times New Roman" w:hAnsi="Times New Roman" w:eastAsia="仿宋_GB2312" w:cs="Times New Roman"/>
          <w:kern w:val="2"/>
          <w:sz w:val="32"/>
          <w:szCs w:val="32"/>
          <w:lang w:val="en-US" w:eastAsia="zh-CN" w:bidi="ar-SA"/>
        </w:rPr>
        <w:t>账</w:t>
      </w:r>
      <w:r>
        <w:rPr>
          <w:rFonts w:hint="eastAsia" w:ascii="仿宋_GB2312" w:hAnsi="仿宋_GB2312" w:eastAsia="仿宋_GB2312" w:cs="仿宋_GB2312"/>
          <w:sz w:val="32"/>
          <w:szCs w:val="32"/>
        </w:rPr>
        <w:t>须到银行柜面办理)。</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网上报价及“限地价、</w:t>
      </w:r>
      <w:r>
        <w:rPr>
          <w:rFonts w:hint="eastAsia" w:ascii="仿宋_GB2312" w:hAnsi="仿宋_GB2312" w:eastAsia="仿宋_GB2312" w:cs="仿宋_GB2312"/>
          <w:b/>
          <w:bCs/>
          <w:sz w:val="32"/>
          <w:szCs w:val="32"/>
          <w:lang w:val="en-US" w:eastAsia="zh-CN"/>
        </w:rPr>
        <w:t>摇号</w:t>
      </w:r>
      <w:r>
        <w:rPr>
          <w:rFonts w:hint="eastAsia" w:ascii="仿宋_GB2312" w:hAnsi="仿宋_GB2312" w:eastAsia="仿宋_GB2312" w:cs="仿宋_GB2312"/>
          <w:b/>
          <w:bCs/>
          <w:sz w:val="32"/>
          <w:szCs w:val="32"/>
        </w:rPr>
        <w:t>”规则</w:t>
      </w:r>
    </w:p>
    <w:p>
      <w:pPr>
        <w:spacing w:line="560" w:lineRule="exact"/>
        <w:ind w:firstLine="480" w:firstLineChars="150"/>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本宗建设用地使用权网上挂牌采取“限地价、</w:t>
      </w:r>
      <w:r>
        <w:rPr>
          <w:rFonts w:hint="eastAsia" w:ascii="仿宋_GB2312" w:eastAsia="仿宋_GB2312"/>
          <w:sz w:val="32"/>
          <w:szCs w:val="32"/>
          <w:lang w:val="en-US" w:eastAsia="zh-CN"/>
        </w:rPr>
        <w:t>摇号</w:t>
      </w:r>
      <w:r>
        <w:rPr>
          <w:rFonts w:hint="eastAsia" w:ascii="仿宋_GB2312" w:eastAsia="仿宋_GB2312"/>
          <w:sz w:val="32"/>
          <w:szCs w:val="32"/>
        </w:rPr>
        <w:t>”出让方式，竞买人以增价方式通过网上挂牌交易系统进行报价，当报价达到最高限价时，交易系统转入</w:t>
      </w:r>
      <w:r>
        <w:rPr>
          <w:rFonts w:hint="eastAsia" w:ascii="仿宋_GB2312" w:eastAsia="仿宋_GB2312"/>
          <w:sz w:val="32"/>
          <w:szCs w:val="32"/>
          <w:lang w:val="en-US" w:eastAsia="zh-CN"/>
        </w:rPr>
        <w:t>采取摇号方式确定</w:t>
      </w:r>
      <w:r>
        <w:rPr>
          <w:rFonts w:hint="eastAsia" w:ascii="仿宋_GB2312" w:eastAsia="仿宋_GB2312"/>
          <w:sz w:val="32"/>
          <w:szCs w:val="32"/>
        </w:rPr>
        <w:t>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（二）每次</w:t>
      </w:r>
      <w:r>
        <w:rPr>
          <w:rFonts w:hint="eastAsia" w:ascii="仿宋_GB2312" w:eastAsia="仿宋_GB2312"/>
          <w:sz w:val="32"/>
          <w:szCs w:val="32"/>
          <w:lang w:val="en-US" w:eastAsia="zh-CN"/>
        </w:rPr>
        <w:t>增价</w:t>
      </w:r>
      <w:r>
        <w:rPr>
          <w:rFonts w:hint="eastAsia" w:ascii="仿宋_GB2312" w:eastAsia="仿宋_GB2312"/>
          <w:sz w:val="32"/>
          <w:szCs w:val="32"/>
        </w:rPr>
        <w:t>幅度</w:t>
      </w:r>
      <w:r>
        <w:rPr>
          <w:rFonts w:hint="eastAsia" w:ascii="仿宋_GB2312" w:eastAsia="仿宋_GB2312"/>
          <w:sz w:val="32"/>
          <w:szCs w:val="32"/>
          <w:lang w:val="en-US" w:eastAsia="zh-CN"/>
        </w:rPr>
        <w:t>应是本须知规定的增价幅度的整数倍</w:t>
      </w:r>
      <w:r>
        <w:rPr>
          <w:rFonts w:hint="eastAsia" w:ascii="仿宋_GB2312" w:eastAsia="仿宋_GB2312"/>
          <w:sz w:val="32"/>
          <w:szCs w:val="32"/>
        </w:rPr>
        <w:t>。</w:t>
      </w:r>
      <w:r>
        <w:rPr>
          <w:rFonts w:ascii="仿宋_GB2312" w:eastAsia="仿宋_GB2312"/>
          <w:sz w:val="32"/>
          <w:szCs w:val="32"/>
        </w:rPr>
        <w:t xml:space="preserve">   </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（三）竞买人可多次报价，首次报价不低于起始价。</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（四）竞买人每次报价应当比当前最高报价至少递增一个增价幅度。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sz w:val="32"/>
          <w:szCs w:val="32"/>
        </w:rPr>
        <w:t>（五）竞买人应当谨慎报价，报价一经提交并经网上挂牌</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系统确认为有效报价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，不可撤回。</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报价不能高于最高限价</w:t>
      </w:r>
      <w:r>
        <w:rPr>
          <w:rFonts w:hint="eastAsia" w:ascii="仿宋_GB2312" w:eastAsia="仿宋_GB2312"/>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eastAsia="仿宋_GB2312"/>
          <w:sz w:val="32"/>
          <w:szCs w:val="32"/>
        </w:rPr>
        <w:t>（七）</w:t>
      </w:r>
      <w:r>
        <w:rPr>
          <w:rFonts w:hint="eastAsia" w:ascii="仿宋_GB2312" w:eastAsia="仿宋_GB2312"/>
          <w:sz w:val="32"/>
          <w:szCs w:val="32"/>
          <w:lang w:val="en-US" w:eastAsia="zh-CN"/>
        </w:rPr>
        <w:t>不同竞买人均可报最高限价</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限时竞价是指在交易公告规定的电子挂牌交易期限截止时，有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个以上的竞买人报价，且经电子挂牌交易系统询问，</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分钟内限时决定是否愿意继续报价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有竞买人愿意继续报价的，电子挂牌交易系统以高于当前最高报价一个增价幅度的价格为起始价，电子挂牌交易系统开始第一次</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分钟倒计时限时报价，如在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分钟内的任一时点有新的有效报价，电子挂牌交易系统即从此时点起再顺延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分钟，供竞买人作新一轮报价，并按此方式不断顺延下去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直至</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分钟限时报价内没有新的有效报价，电子挂牌交易系统将自动关闭报价通道，确认当前最高报价为最终报价。</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）在土地挂牌交易期限截止时，按照下列规则确定是否成交：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1、挂牌交易期限截止时无人报价的，挂牌不成交;</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2、挂牌交易期限截止时只有1个竞买人报价，挂牌成交,该报价者为竞得人；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3、在挂牌交易期限内有2个以上的竞买人报价的，按如下规定确定竞得人: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在挂牌交易期限截止时 ,最高报价未达到最高限价,经电子挂牌交易系统询问，无竞买人愿意参加限时竞价的，以当前报价最高者为竞得人；</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 在挂牌交易期限截止时 ,最高报价未达到最高限价,经电子挂牌交易系统询问，有竞买人愿意参加限时竞价的，进入限时竞价，限时竞价中最高报价未达到最高限价的, 该最高报价者为竞得人</w:t>
      </w:r>
      <w:r>
        <w:rPr>
          <w:rFonts w:hint="eastAsia" w:ascii="仿宋_GB2312" w:hAnsi="仿宋_GB2312" w:eastAsia="仿宋_GB2312" w:cs="仿宋_GB2312"/>
          <w:sz w:val="32"/>
          <w:szCs w:val="32"/>
          <w:lang w:eastAsia="zh-CN"/>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进入限时竞价，限时竞价中</w:t>
      </w:r>
      <w:r>
        <w:rPr>
          <w:rFonts w:hint="eastAsia" w:ascii="仿宋_GB2312" w:hAnsi="仿宋_GB2312" w:eastAsia="仿宋_GB2312" w:cs="仿宋_GB2312"/>
          <w:sz w:val="32"/>
          <w:szCs w:val="32"/>
        </w:rPr>
        <w:t>最高报价达到最高限价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只有</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竞买人报最高限价，该报价者为竞得人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以上竞买人报最高限价，系统将选取报最高限价的竞买号进行摇号，采取摇号的方式在规定的时间内确定竞得人。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十四、系统操作</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土地与矿业交易系统竞买人操作视频</w:t>
      </w:r>
      <w:r>
        <w:rPr>
          <w:rFonts w:hint="eastAsia" w:ascii="仿宋_GB2312" w:hAnsi="仿宋_GB2312" w:eastAsia="仿宋_GB2312" w:cs="仿宋_GB2312"/>
          <w:sz w:val="32"/>
          <w:szCs w:val="32"/>
          <w:lang w:val="en-US" w:eastAsia="zh-CN"/>
        </w:rPr>
        <w:t>可在</w:t>
      </w:r>
      <w:r>
        <w:rPr>
          <w:rFonts w:hint="eastAsia" w:ascii="仿宋_GB2312" w:hAnsi="仿宋_GB2312" w:eastAsia="仿宋_GB2312" w:cs="仿宋_GB2312"/>
          <w:sz w:val="32"/>
          <w:szCs w:val="32"/>
        </w:rPr>
        <w:t>本中心网上挂牌交易系</w:t>
      </w:r>
      <w:r>
        <w:rPr>
          <w:rFonts w:hint="eastAsia" w:ascii="仿宋_GB2312" w:hAnsi="仿宋_GB2312" w:eastAsia="仿宋_GB2312" w:cs="仿宋_GB2312"/>
          <w:sz w:val="32"/>
          <w:szCs w:val="32"/>
          <w:lang w:val="en-US" w:eastAsia="zh-CN"/>
        </w:rPr>
        <w:t>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下载。</w:t>
      </w:r>
      <w:bookmarkStart w:id="6" w:name="106"/>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 xml:space="preserve">权限。 </w:t>
      </w:r>
    </w:p>
    <w:p>
      <w:pPr>
        <w:tabs>
          <w:tab w:val="left" w:pos="3388"/>
        </w:tabs>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（四）网上挂牌报价</w:t>
      </w:r>
      <w:r>
        <w:rPr>
          <w:rFonts w:hint="eastAsia" w:ascii="仿宋_GB2312" w:hAnsi="仿宋_GB2312" w:eastAsia="仿宋_GB2312" w:cs="仿宋_GB2312"/>
          <w:sz w:val="32"/>
          <w:szCs w:val="32"/>
          <w:lang w:val="en-US" w:eastAsia="zh-CN"/>
        </w:rPr>
        <w:t>及摇号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当地块竞价至最高限价时，转入摇号环节</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w:t>
      </w:r>
      <w:r>
        <w:rPr>
          <w:rFonts w:hint="eastAsia" w:ascii="仿宋_GB2312" w:hAnsi="仿宋_GB2312" w:eastAsia="仿宋_GB2312" w:cs="仿宋_GB2312"/>
          <w:sz w:val="32"/>
          <w:szCs w:val="32"/>
          <w:lang w:val="en-US" w:eastAsia="zh-CN"/>
        </w:rPr>
        <w:t>及“限地价、摇号”</w:t>
      </w:r>
      <w:r>
        <w:rPr>
          <w:rFonts w:hint="eastAsia" w:ascii="仿宋_GB2312" w:hAnsi="仿宋_GB2312" w:eastAsia="仿宋_GB2312" w:cs="仿宋_GB2312"/>
          <w:sz w:val="32"/>
          <w:szCs w:val="32"/>
        </w:rPr>
        <w:t>规则见</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《须知》第十三条。</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）资格审查和签订《成交确认书》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《竞买保证金到账通知书》并盖章。</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w:t>
      </w:r>
      <w:r>
        <w:rPr>
          <w:rFonts w:hint="eastAsia" w:ascii="仿宋_GB2312" w:hAnsi="仿宋_GB2312" w:eastAsia="仿宋_GB2312" w:cs="仿宋_GB2312"/>
          <w:sz w:val="32"/>
          <w:szCs w:val="32"/>
          <w:lang w:val="en-US" w:eastAsia="zh-CN"/>
        </w:rPr>
        <w:t>之日起5</w:t>
      </w:r>
      <w:r>
        <w:rPr>
          <w:rFonts w:hint="eastAsia" w:ascii="仿宋_GB2312" w:hAnsi="仿宋_GB2312" w:eastAsia="仿宋_GB2312" w:cs="仿宋_GB2312"/>
          <w:sz w:val="32"/>
          <w:szCs w:val="32"/>
        </w:rPr>
        <w:t>个工作日内持公司公章及下列有关纸质材料到本中心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由委托方进行资格审查，</w:t>
      </w:r>
      <w:r>
        <w:rPr>
          <w:rFonts w:hint="eastAsia" w:ascii="仿宋_GB2312" w:hAnsi="仿宋_GB2312" w:eastAsia="仿宋_GB2312" w:cs="仿宋_GB2312"/>
          <w:sz w:val="32"/>
          <w:szCs w:val="32"/>
          <w:highlight w:val="none"/>
          <w:shd w:val="clear" w:color="auto" w:fill="auto"/>
          <w:lang w:val="en-US" w:eastAsia="zh-CN"/>
        </w:rPr>
        <w:t>符合竞买资格的，竞得人应</w:t>
      </w:r>
      <w:bookmarkStart w:id="8" w:name="_GoBack"/>
      <w:bookmarkEnd w:id="8"/>
      <w:r>
        <w:rPr>
          <w:rFonts w:hint="eastAsia" w:ascii="仿宋_GB2312" w:hAnsi="仿宋_GB2312" w:eastAsia="仿宋_GB2312" w:cs="仿宋_GB2312"/>
          <w:sz w:val="32"/>
          <w:szCs w:val="32"/>
          <w:highlight w:val="none"/>
          <w:shd w:val="clear" w:color="auto" w:fill="auto"/>
          <w:lang w:val="en-US" w:eastAsia="zh-CN"/>
        </w:rPr>
        <w:t>在网上挂牌交易信息结果公布之日起5个工作日内签订《成交确认书》</w:t>
      </w:r>
      <w:r>
        <w:rPr>
          <w:rFonts w:hint="eastAsia" w:ascii="仿宋_GB2312" w:hAnsi="仿宋_GB2312" w:eastAsia="仿宋_GB2312" w:cs="仿宋_GB2312"/>
          <w:sz w:val="32"/>
          <w:szCs w:val="32"/>
          <w:lang w:val="en-US"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（2）《竞价结果通知书》（加盖公章）。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（3）《竞买保证金到账通知书》（加盖公章）。</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（4）转</w:t>
      </w:r>
      <w:r>
        <w:rPr>
          <w:rFonts w:hint="eastAsia" w:ascii="仿宋_GB2312" w:hAnsi="仿宋_GB2312" w:eastAsia="仿宋_GB2312" w:cs="仿宋_GB2312"/>
          <w:sz w:val="32"/>
          <w:szCs w:val="32"/>
          <w:lang w:eastAsia="zh-CN"/>
        </w:rPr>
        <w:t>账</w:t>
      </w:r>
      <w:r>
        <w:rPr>
          <w:rFonts w:hint="eastAsia" w:ascii="仿宋_GB2312" w:hAnsi="仿宋_GB2312" w:eastAsia="仿宋_GB2312" w:cs="仿宋_GB2312"/>
          <w:sz w:val="32"/>
          <w:szCs w:val="32"/>
        </w:rPr>
        <w:t>凭证复印件（加盖公章）</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（5）申请竞买人有效的《营业执照》复印件（加盖公章）（二份）。</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（6）法定代表人身份证复印件（加盖公章）（二份</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竞买</w:t>
      </w:r>
      <w:r>
        <w:rPr>
          <w:rFonts w:hint="eastAsia" w:ascii="仿宋_GB2312" w:hAnsi="仿宋_GB2312" w:eastAsia="仿宋_GB2312" w:cs="仿宋_GB2312"/>
          <w:sz w:val="32"/>
          <w:szCs w:val="32"/>
        </w:rPr>
        <w:t>人及其控股股东</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存在违法、违规、违约行为的</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房地产开发资质材料</w:t>
      </w:r>
      <w:r>
        <w:rPr>
          <w:rFonts w:hint="eastAsia" w:ascii="仿宋_GB2312" w:hAnsi="仿宋_GB2312" w:eastAsia="仿宋_GB2312" w:cs="仿宋_GB2312"/>
          <w:sz w:val="32"/>
          <w:szCs w:val="32"/>
          <w:lang w:eastAsia="zh-CN"/>
        </w:rPr>
        <w:t>。</w:t>
      </w:r>
    </w:p>
    <w:p>
      <w:pPr>
        <w:tabs>
          <w:tab w:val="left" w:pos="3388"/>
        </w:tabs>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购地资金来源承诺书。</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宗地竞买申请之前，申请人须详细阅读本次《网上挂牌出让公告》、《惠州市国有建设用地使用权网上挂牌出让须知》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Times New Roman" w:hAnsi="Times New Roman" w:eastAsia="仿宋_GB2312" w:cs="Times New Roman"/>
          <w:sz w:val="32"/>
          <w:szCs w:val="32"/>
          <w:highlight w:val="none"/>
          <w:lang w:val="en-US" w:eastAsia="zh-CN"/>
        </w:rPr>
        <w:t>本次国有建设用地使用权网上挂牌</w:t>
      </w:r>
      <w:r>
        <w:rPr>
          <w:rFonts w:hint="default" w:ascii="Times New Roman" w:hAnsi="Times New Roman" w:eastAsia="仿宋_GB2312" w:cs="Times New Roman"/>
          <w:sz w:val="32"/>
          <w:szCs w:val="32"/>
          <w:highlight w:val="none"/>
          <w:lang w:val="en-US" w:eastAsia="zh-CN"/>
        </w:rPr>
        <w:t>竞价达到</w:t>
      </w:r>
      <w:r>
        <w:rPr>
          <w:rFonts w:hint="eastAsia" w:ascii="Times New Roman" w:hAnsi="Times New Roman" w:eastAsia="仿宋_GB2312" w:cs="Times New Roman"/>
          <w:sz w:val="28"/>
          <w:szCs w:val="28"/>
          <w:highlight w:val="none"/>
          <w:lang w:val="en-US" w:eastAsia="zh-CN"/>
        </w:rPr>
        <w:t>22940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转为采</w:t>
      </w:r>
      <w:r>
        <w:rPr>
          <w:rFonts w:hint="default" w:ascii="Times New Roman" w:hAnsi="Times New Roman" w:eastAsia="仿宋_GB2312" w:cs="Times New Roman"/>
          <w:sz w:val="32"/>
          <w:szCs w:val="32"/>
          <w:highlight w:val="none"/>
          <w:lang w:val="en-US" w:eastAsia="zh-CN"/>
        </w:rPr>
        <w:t>取</w:t>
      </w:r>
      <w:r>
        <w:rPr>
          <w:rFonts w:hint="default" w:ascii="Times New Roman" w:hAnsi="Times New Roman" w:eastAsia="仿宋_GB2312" w:cs="Times New Roman"/>
          <w:sz w:val="32"/>
          <w:szCs w:val="32"/>
          <w:highlight w:val="none"/>
        </w:rPr>
        <w:t>摇号方式确定竞得人</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即新公司的股东必须100%是竞买申请企业作为法人的股东。根据挂牌出让结果，可先与竞得人签订《出让合同》，在竞得人按约定办理完新公司注册登记手续后，再与新公司签订国有建设用地使用权出让合同补充协议；也可按约定直接与新公司签订《出让合同》。</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竞买申请人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申请人要说明购地资金来源、提供相应证明并对上述要求作出承诺。</w:t>
      </w:r>
    </w:p>
    <w:p>
      <w:pPr>
        <w:pStyle w:val="2"/>
        <w:keepNext w:val="0"/>
        <w:keepLines w:val="0"/>
        <w:pageBreakBefore w:val="0"/>
        <w:widowControl w:val="0"/>
        <w:kinsoku/>
        <w:wordWrap/>
        <w:overflowPunct/>
        <w:topLinePunct w:val="0"/>
        <w:autoSpaceDE/>
        <w:autoSpaceDN/>
        <w:bidi w:val="0"/>
        <w:ind w:firstLine="640" w:firstLineChars="200"/>
        <w:textAlignment w:val="auto"/>
      </w:pPr>
      <w:r>
        <w:rPr>
          <w:rFonts w:hint="default" w:ascii="Times New Roman" w:hAnsi="Times New Roman" w:eastAsia="仿宋_GB2312" w:cs="Times New Roman"/>
          <w:kern w:val="2"/>
          <w:sz w:val="32"/>
          <w:szCs w:val="32"/>
          <w:lang w:val="en-US" w:eastAsia="zh-CN" w:bidi="ar-SA"/>
        </w:rPr>
        <w:t>对于经审查资金来源不符合要求的，根据情况采取取消参与资格竞买、取消竞得资格、解除土地出让合同或收回已出让土地等措施，竞买保证金不予返还，一年内不得在惠州市参加土地竞买</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）确定竞得人后，竞得人持《</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通知书》以及参加本宗地网上挂牌交易的所须资料到惠州市公共资源交易中心土地矿业交易部申办相关成交确认手续。</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竞价结果</w:t>
      </w:r>
      <w:r>
        <w:rPr>
          <w:rFonts w:hint="eastAsia" w:ascii="仿宋_GB2312" w:hAnsi="仿宋_GB2312" w:eastAsia="仿宋_GB2312" w:cs="仿宋_GB2312"/>
          <w:sz w:val="32"/>
          <w:szCs w:val="32"/>
        </w:rPr>
        <w:t>通知书》对挂牌人和竞得人具有法律效力，挂牌人改变网上挂牌结果的，或者竞得人放弃竞得宗地的，应当承担相应法律责任。</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成交价的10%转作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以外币缴交竞买保证金的，扣除定金后余额</w:t>
      </w:r>
      <w:r>
        <w:rPr>
          <w:rFonts w:hint="eastAsia" w:ascii="仿宋_GB2312" w:hAnsi="仿宋_GB2312" w:eastAsia="仿宋_GB2312" w:cs="仿宋_GB2312"/>
          <w:sz w:val="32"/>
          <w:szCs w:val="32"/>
          <w:lang w:val="en-US" w:eastAsia="zh-CN"/>
        </w:rPr>
        <w:t>部分返回给竞得人</w:t>
      </w:r>
      <w:r>
        <w:rPr>
          <w:rFonts w:hint="eastAsia" w:ascii="仿宋_GB2312" w:hAnsi="仿宋_GB2312" w:eastAsia="仿宋_GB2312" w:cs="仿宋_GB2312"/>
          <w:sz w:val="32"/>
          <w:szCs w:val="32"/>
        </w:rPr>
        <w:t>，待竞得人按时缴清成交价款后，再将定金退</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，不计利息。</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以外币缴纳竞买保证金的，未竞得人</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5个工作日内带齐相关资料（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竞价结果通知书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《保证金到</w:t>
      </w:r>
      <w:r>
        <w:rPr>
          <w:rFonts w:hint="eastAsia" w:ascii="仿宋_GB2312" w:hAnsi="仿宋_GB2312" w:eastAsia="仿宋_GB2312" w:cs="仿宋_GB2312"/>
          <w:color w:val="000000"/>
          <w:sz w:val="32"/>
          <w:szCs w:val="32"/>
          <w:lang w:val="en-US" w:eastAsia="zh-CN"/>
        </w:rPr>
        <w:t>账</w:t>
      </w:r>
      <w:r>
        <w:rPr>
          <w:rFonts w:hint="eastAsia" w:ascii="仿宋_GB2312" w:hAnsi="仿宋_GB2312" w:eastAsia="仿宋_GB2312" w:cs="仿宋_GB2312"/>
          <w:color w:val="000000"/>
          <w:sz w:val="32"/>
          <w:szCs w:val="32"/>
        </w:rPr>
        <w:t>通知书》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保证金</w:t>
      </w:r>
      <w:r>
        <w:rPr>
          <w:rFonts w:hint="eastAsia" w:ascii="仿宋_GB2312" w:hAnsi="仿宋_GB2312" w:eastAsia="仿宋_GB2312" w:cs="仿宋_GB2312"/>
          <w:color w:val="000000"/>
          <w:sz w:val="32"/>
          <w:szCs w:val="32"/>
        </w:rPr>
        <w:t>进账单等）到本中心退还保证金，不计利息。</w:t>
      </w:r>
    </w:p>
    <w:p>
      <w:pPr>
        <w:pStyle w:val="2"/>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竞得人应当在《成交确认书》签订之日起5个工作日内与出让人签订《出让合同》。</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highlight w:val="none"/>
          <w:lang w:eastAsia="zh-CN"/>
        </w:rPr>
        <w:t>竞得人办理保证金转付地价款手续须带齐相关资料（惠州市非税收入缴款通知、保证金到账通知书、竞价结果通知书、保证金转账凭证）到我中心办理。</w:t>
      </w:r>
    </w:p>
    <w:p>
      <w:pPr>
        <w:keepNext w:val="0"/>
        <w:keepLines w:val="0"/>
        <w:pageBreakBefore w:val="0"/>
        <w:widowControl w:val="0"/>
        <w:tabs>
          <w:tab w:val="left" w:pos="3388"/>
        </w:tabs>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）网上挂牌成交价即为该幅地块的总地价款，竞得人除支付成交价款外，还需支付契税、印花税等有关费用。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）本中心对本《须知》有解释权。未尽事宜依照《招标拍卖挂牌出让国有土地使用权规范》办理。</w:t>
      </w:r>
    </w:p>
    <w:p>
      <w:pPr>
        <w:tabs>
          <w:tab w:val="left" w:pos="3388"/>
        </w:tabs>
        <w:ind w:firstLine="4640" w:firstLineChars="1450"/>
        <w:jc w:val="left"/>
        <w:rPr>
          <w:rFonts w:hint="eastAsia"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小标宋_GBK">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225A"/>
    <w:rsid w:val="00E4457D"/>
    <w:rsid w:val="00E60097"/>
    <w:rsid w:val="00E80589"/>
    <w:rsid w:val="00E907B3"/>
    <w:rsid w:val="00EB3EE4"/>
    <w:rsid w:val="00EE1934"/>
    <w:rsid w:val="00EE690A"/>
    <w:rsid w:val="00EF2D3D"/>
    <w:rsid w:val="00F034B7"/>
    <w:rsid w:val="00F14EC5"/>
    <w:rsid w:val="00F1789A"/>
    <w:rsid w:val="00F3154E"/>
    <w:rsid w:val="00F425AB"/>
    <w:rsid w:val="00FA4B4C"/>
    <w:rsid w:val="011E46EB"/>
    <w:rsid w:val="031A11BD"/>
    <w:rsid w:val="032C70CD"/>
    <w:rsid w:val="042C6BAB"/>
    <w:rsid w:val="0449611D"/>
    <w:rsid w:val="04F7599A"/>
    <w:rsid w:val="054F511E"/>
    <w:rsid w:val="05616BEE"/>
    <w:rsid w:val="05AA6043"/>
    <w:rsid w:val="065D58C0"/>
    <w:rsid w:val="06E84056"/>
    <w:rsid w:val="06FE3B96"/>
    <w:rsid w:val="071F73B3"/>
    <w:rsid w:val="077D5D24"/>
    <w:rsid w:val="07D27002"/>
    <w:rsid w:val="07F629A0"/>
    <w:rsid w:val="091E26EA"/>
    <w:rsid w:val="09317644"/>
    <w:rsid w:val="0A812477"/>
    <w:rsid w:val="0C40433F"/>
    <w:rsid w:val="0DCB3B54"/>
    <w:rsid w:val="0FB217AF"/>
    <w:rsid w:val="0FB2799E"/>
    <w:rsid w:val="10152918"/>
    <w:rsid w:val="105A2768"/>
    <w:rsid w:val="10A1573B"/>
    <w:rsid w:val="10B43BC1"/>
    <w:rsid w:val="111E117E"/>
    <w:rsid w:val="114B791E"/>
    <w:rsid w:val="11505300"/>
    <w:rsid w:val="11A17A14"/>
    <w:rsid w:val="12295A9F"/>
    <w:rsid w:val="15BB632B"/>
    <w:rsid w:val="15C4392F"/>
    <w:rsid w:val="15D340EA"/>
    <w:rsid w:val="16615977"/>
    <w:rsid w:val="168C318D"/>
    <w:rsid w:val="16AE6DA7"/>
    <w:rsid w:val="188705CA"/>
    <w:rsid w:val="1960257D"/>
    <w:rsid w:val="19D941D6"/>
    <w:rsid w:val="1CB6407B"/>
    <w:rsid w:val="1DE56E00"/>
    <w:rsid w:val="1ED73189"/>
    <w:rsid w:val="20855E22"/>
    <w:rsid w:val="20EE726B"/>
    <w:rsid w:val="21587C67"/>
    <w:rsid w:val="23141DA3"/>
    <w:rsid w:val="23251288"/>
    <w:rsid w:val="24B951B7"/>
    <w:rsid w:val="25D63F7C"/>
    <w:rsid w:val="26945C50"/>
    <w:rsid w:val="26C33689"/>
    <w:rsid w:val="26FE6F45"/>
    <w:rsid w:val="282C1E6E"/>
    <w:rsid w:val="28D2352A"/>
    <w:rsid w:val="28ED736B"/>
    <w:rsid w:val="29220F8B"/>
    <w:rsid w:val="29DE5841"/>
    <w:rsid w:val="2A9618EC"/>
    <w:rsid w:val="2AA45603"/>
    <w:rsid w:val="2B1A2077"/>
    <w:rsid w:val="2C587D2F"/>
    <w:rsid w:val="2C5C75C2"/>
    <w:rsid w:val="2CA246FC"/>
    <w:rsid w:val="2CD752D7"/>
    <w:rsid w:val="2D027EED"/>
    <w:rsid w:val="2DEB4267"/>
    <w:rsid w:val="2E9977AD"/>
    <w:rsid w:val="2F944F64"/>
    <w:rsid w:val="2FA2409E"/>
    <w:rsid w:val="31880862"/>
    <w:rsid w:val="31B60A9D"/>
    <w:rsid w:val="31C9110F"/>
    <w:rsid w:val="32B035CA"/>
    <w:rsid w:val="33902823"/>
    <w:rsid w:val="33A33367"/>
    <w:rsid w:val="34C41D04"/>
    <w:rsid w:val="34CD617E"/>
    <w:rsid w:val="354A1F97"/>
    <w:rsid w:val="36365EE8"/>
    <w:rsid w:val="36C927EF"/>
    <w:rsid w:val="36E70546"/>
    <w:rsid w:val="378C6660"/>
    <w:rsid w:val="38DE5E51"/>
    <w:rsid w:val="390E539D"/>
    <w:rsid w:val="3B8E7B9E"/>
    <w:rsid w:val="3C01795F"/>
    <w:rsid w:val="3C4A4143"/>
    <w:rsid w:val="3C5E598F"/>
    <w:rsid w:val="3C8F0E4F"/>
    <w:rsid w:val="3CAD2EC5"/>
    <w:rsid w:val="3CB81CC8"/>
    <w:rsid w:val="3D322E34"/>
    <w:rsid w:val="3D5E1016"/>
    <w:rsid w:val="3FB91BA4"/>
    <w:rsid w:val="3FC22752"/>
    <w:rsid w:val="40383B92"/>
    <w:rsid w:val="418879B1"/>
    <w:rsid w:val="41954468"/>
    <w:rsid w:val="41C140D6"/>
    <w:rsid w:val="421630A4"/>
    <w:rsid w:val="432B1A76"/>
    <w:rsid w:val="440C4340"/>
    <w:rsid w:val="44811DC9"/>
    <w:rsid w:val="450E3C66"/>
    <w:rsid w:val="454309A1"/>
    <w:rsid w:val="456D71FA"/>
    <w:rsid w:val="45781C16"/>
    <w:rsid w:val="45C47203"/>
    <w:rsid w:val="45E829E7"/>
    <w:rsid w:val="460C4FB7"/>
    <w:rsid w:val="465E4F22"/>
    <w:rsid w:val="467262F8"/>
    <w:rsid w:val="46F579AB"/>
    <w:rsid w:val="472949DE"/>
    <w:rsid w:val="48566E44"/>
    <w:rsid w:val="48593E6F"/>
    <w:rsid w:val="4A387CD0"/>
    <w:rsid w:val="4AFF2E69"/>
    <w:rsid w:val="4BA610FC"/>
    <w:rsid w:val="4C7F3033"/>
    <w:rsid w:val="4CF51C39"/>
    <w:rsid w:val="4E994D7F"/>
    <w:rsid w:val="4ED2701A"/>
    <w:rsid w:val="4F1E4BBE"/>
    <w:rsid w:val="4F3537ED"/>
    <w:rsid w:val="4F8F3889"/>
    <w:rsid w:val="4FFE1B2F"/>
    <w:rsid w:val="51467837"/>
    <w:rsid w:val="51F9626A"/>
    <w:rsid w:val="52AA5DFE"/>
    <w:rsid w:val="533F6C66"/>
    <w:rsid w:val="544574F3"/>
    <w:rsid w:val="544F17E9"/>
    <w:rsid w:val="546D5003"/>
    <w:rsid w:val="54943EAC"/>
    <w:rsid w:val="54C11818"/>
    <w:rsid w:val="551C4139"/>
    <w:rsid w:val="58AC5C79"/>
    <w:rsid w:val="58FE24B1"/>
    <w:rsid w:val="59693A9B"/>
    <w:rsid w:val="5A154FE3"/>
    <w:rsid w:val="5AEE4F52"/>
    <w:rsid w:val="5B1D2CCC"/>
    <w:rsid w:val="5B52670E"/>
    <w:rsid w:val="5B625B54"/>
    <w:rsid w:val="5B640509"/>
    <w:rsid w:val="5D006096"/>
    <w:rsid w:val="5D731ABE"/>
    <w:rsid w:val="5DB15592"/>
    <w:rsid w:val="5DFB50B1"/>
    <w:rsid w:val="610A5EBF"/>
    <w:rsid w:val="6178185B"/>
    <w:rsid w:val="617F00E3"/>
    <w:rsid w:val="619F7108"/>
    <w:rsid w:val="626D3847"/>
    <w:rsid w:val="62D41879"/>
    <w:rsid w:val="648A18F5"/>
    <w:rsid w:val="64C30585"/>
    <w:rsid w:val="651C53A6"/>
    <w:rsid w:val="659D6FA9"/>
    <w:rsid w:val="65DC5F2F"/>
    <w:rsid w:val="65F2007E"/>
    <w:rsid w:val="674136F1"/>
    <w:rsid w:val="68085778"/>
    <w:rsid w:val="688B43B5"/>
    <w:rsid w:val="68D3265E"/>
    <w:rsid w:val="69B07B1E"/>
    <w:rsid w:val="69E22ED5"/>
    <w:rsid w:val="6AA821A5"/>
    <w:rsid w:val="6B8A6BF3"/>
    <w:rsid w:val="6BD3613E"/>
    <w:rsid w:val="6BFA1460"/>
    <w:rsid w:val="6C013F77"/>
    <w:rsid w:val="6C181FB4"/>
    <w:rsid w:val="6C1D0861"/>
    <w:rsid w:val="6C464624"/>
    <w:rsid w:val="6C530112"/>
    <w:rsid w:val="6C611252"/>
    <w:rsid w:val="6CCC1A8E"/>
    <w:rsid w:val="6D46310F"/>
    <w:rsid w:val="6FCE2720"/>
    <w:rsid w:val="72C52A77"/>
    <w:rsid w:val="73362333"/>
    <w:rsid w:val="739402F8"/>
    <w:rsid w:val="74CC0B4E"/>
    <w:rsid w:val="755C76C8"/>
    <w:rsid w:val="76382CBE"/>
    <w:rsid w:val="763E46A7"/>
    <w:rsid w:val="76832121"/>
    <w:rsid w:val="76B47A3E"/>
    <w:rsid w:val="77A91566"/>
    <w:rsid w:val="77E167B8"/>
    <w:rsid w:val="78591F3E"/>
    <w:rsid w:val="78CA1EAE"/>
    <w:rsid w:val="7A4E7C8B"/>
    <w:rsid w:val="7B3065F7"/>
    <w:rsid w:val="7B8363CD"/>
    <w:rsid w:val="7C3F4445"/>
    <w:rsid w:val="7F111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7AB7"/>
      <w:u w:val="none"/>
    </w:rPr>
  </w:style>
  <w:style w:type="character" w:styleId="11">
    <w:name w:val="HTML Definition"/>
    <w:basedOn w:val="8"/>
    <w:qFormat/>
    <w:uiPriority w:val="0"/>
    <w:rPr>
      <w:i/>
      <w:color w:val="555555"/>
      <w:sz w:val="21"/>
      <w:szCs w:val="21"/>
      <w:bdr w:val="single" w:color="CCCCCC" w:sz="6" w:space="0"/>
      <w:shd w:val="clear" w:fill="EEEEEE"/>
    </w:rPr>
  </w:style>
  <w:style w:type="character" w:styleId="12">
    <w:name w:val="Hyperlink"/>
    <w:basedOn w:val="8"/>
    <w:qFormat/>
    <w:uiPriority w:val="0"/>
    <w:rPr>
      <w:color w:val="337AB7"/>
      <w:u w:val="non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7">
    <w:name w:val="页眉 Char"/>
    <w:basedOn w:val="8"/>
    <w:link w:val="6"/>
    <w:qFormat/>
    <w:uiPriority w:val="0"/>
    <w:rPr>
      <w:rFonts w:ascii="Calibri" w:hAnsi="Calibri"/>
      <w:kern w:val="2"/>
      <w:sz w:val="18"/>
      <w:szCs w:val="18"/>
    </w:rPr>
  </w:style>
  <w:style w:type="character" w:customStyle="1" w:styleId="18">
    <w:name w:val="页脚 Char"/>
    <w:basedOn w:val="8"/>
    <w:link w:val="5"/>
    <w:qFormat/>
    <w:uiPriority w:val="99"/>
    <w:rPr>
      <w:rFonts w:ascii="Calibri" w:hAnsi="Calibri"/>
      <w:kern w:val="2"/>
      <w:sz w:val="18"/>
      <w:szCs w:val="22"/>
    </w:rPr>
  </w:style>
  <w:style w:type="character" w:customStyle="1" w:styleId="19">
    <w:name w:val="正文文本缩进 Char"/>
    <w:basedOn w:val="8"/>
    <w:link w:val="3"/>
    <w:qFormat/>
    <w:uiPriority w:val="0"/>
    <w:rPr>
      <w:rFonts w:ascii="仿宋_GB2312" w:hAnsi="华文中宋" w:eastAsia="仿宋_GB2312"/>
      <w:sz w:val="32"/>
      <w:szCs w:val="24"/>
    </w:rPr>
  </w:style>
  <w:style w:type="character" w:customStyle="1" w:styleId="20">
    <w:name w:val="actspan"/>
    <w:basedOn w:val="8"/>
    <w:qFormat/>
    <w:uiPriority w:val="0"/>
  </w:style>
  <w:style w:type="character" w:customStyle="1" w:styleId="21">
    <w:name w:val="layui-layer-tabnow"/>
    <w:basedOn w:val="8"/>
    <w:qFormat/>
    <w:uiPriority w:val="0"/>
    <w:rPr>
      <w:bdr w:val="single" w:color="CCCCCC" w:sz="6" w:space="0"/>
      <w:shd w:val="clear" w:fill="FFFFFF"/>
    </w:rPr>
  </w:style>
  <w:style w:type="character" w:customStyle="1" w:styleId="22">
    <w:name w:val="first-child"/>
    <w:basedOn w:val="8"/>
    <w:qFormat/>
    <w:uiPriority w:val="0"/>
  </w:style>
  <w:style w:type="character" w:customStyle="1" w:styleId="23">
    <w:name w:val="actspan2"/>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杨惠丹</cp:lastModifiedBy>
  <cp:lastPrinted>2021-09-15T07:02:00Z</cp:lastPrinted>
  <dcterms:modified xsi:type="dcterms:W3CDTF">2021-09-27T07:53:52Z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