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_GBK" w:hAnsi="华文中宋" w:eastAsia="方正小标宋_GBK" w:cs="Times New Roman"/>
          <w:b/>
          <w:bCs/>
          <w:spacing w:val="3"/>
          <w:kern w:val="2"/>
          <w:sz w:val="44"/>
          <w:szCs w:val="44"/>
          <w:lang w:val="en-US" w:eastAsia="zh-CN" w:bidi="ar-SA"/>
        </w:rPr>
      </w:pPr>
      <w:r>
        <w:rPr>
          <w:rFonts w:hint="eastAsia" w:ascii="方正小标宋_GBK" w:hAnsi="华文中宋" w:eastAsia="方正小标宋_GBK" w:cs="Times New Roman"/>
          <w:b/>
          <w:bCs/>
          <w:spacing w:val="3"/>
          <w:kern w:val="2"/>
          <w:sz w:val="44"/>
          <w:szCs w:val="44"/>
          <w:lang w:val="en-US" w:eastAsia="zh-CN" w:bidi="ar-SA"/>
        </w:rPr>
        <w:t>惠州市国有建设用地使用权</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_GBK" w:hAnsi="华文中宋" w:eastAsia="方正小标宋_GBK" w:cs="Times New Roman"/>
          <w:b/>
          <w:bCs/>
          <w:spacing w:val="3"/>
          <w:kern w:val="2"/>
          <w:sz w:val="44"/>
          <w:szCs w:val="44"/>
          <w:lang w:val="en-US" w:eastAsia="zh-CN" w:bidi="ar-SA"/>
        </w:rPr>
      </w:pPr>
      <w:r>
        <w:rPr>
          <w:rFonts w:hint="eastAsia" w:ascii="方正小标宋_GBK" w:hAnsi="华文中宋" w:eastAsia="方正小标宋_GBK" w:cs="Times New Roman"/>
          <w:b/>
          <w:bCs/>
          <w:spacing w:val="3"/>
          <w:kern w:val="2"/>
          <w:sz w:val="44"/>
          <w:szCs w:val="44"/>
          <w:lang w:val="en-US" w:eastAsia="zh-CN" w:bidi="ar-SA"/>
        </w:rPr>
        <w:t>网上挂牌出让须知</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惠公易土市直[2021]048号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（一）挂牌地块编号：GP2021-</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（二）地块位置：惠州市惠城区江北片区JB26-1-1-1地块;</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用地</w:t>
      </w:r>
      <w:r>
        <w:rPr>
          <w:rFonts w:hint="eastAsia" w:ascii="仿宋_GB2312" w:hAnsi="仿宋_GB2312" w:eastAsia="仿宋_GB2312" w:cs="仿宋_GB2312"/>
          <w:sz w:val="32"/>
          <w:szCs w:val="32"/>
        </w:rPr>
        <w:t>编号：JB26-1-1-1;</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（四）地块范围：平面界址点以《建设用地红线图》为准，宗地竖向界限以《建设用地规划设计条件》（案卷编号：PB20210058）规定为准；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（五）宗地使用权面积为：1472.07平方米；</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（六）计算指标用地面积为：2150.72平方米；</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）土地用途为：交通服务场站用地；</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）土地使用权出让年期为：交通服务场站用地50年；</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）适建性：停车库及配套设施；</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机动车停车位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lang w:eastAsia="zh-CN"/>
        </w:rPr>
        <w:t>）：地上机械式立体停车位≥168；</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 动工及竣工时间：该地块的动工时间为地块交付之日起</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年内，竣工时间为动工之日起三年内（因不可抗拒因素除外）；</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）竞得人在缴清地价款后一个月内办理交地手续，凭《交地确认书》、《出让合同》（正本）和地价款交款凭证等申请办理土地初始登记，领取《不动产权证书》。</w:t>
      </w:r>
      <w:r>
        <w:rPr>
          <w:rFonts w:hint="eastAsia" w:ascii="宋体" w:hAnsi="宋体" w:eastAsia="宋体" w:cs="宋体"/>
          <w:sz w:val="25"/>
          <w:szCs w:val="25"/>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四、土地开发及使用规定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（一）开发投资总额不少于2480万元（含地价，不含地价溢价部分）。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auto"/>
          <w:sz w:val="32"/>
          <w:szCs w:val="32"/>
        </w:rPr>
        <w:t>土地成交价款须以人民币支付，竞得人须在签订《出让合同》之日起一个月内缴清土地成交价款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（三）竞得人在用地红线内开发建设必须符合城市规划要求，必须按《建设用地规划设计条件》（案卷编号：PB20210058）规划控制指标要求及有关规定进行规划设计。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（四）该宗地权利清晰，安置补偿落实到位，没有法律经济纠纷，具备动工开发所必须的基本条件。地上现状有钢结构机械式临时停车场，竞得人可继续使用或拆除重建</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（五）竞得人须按《建设用地规划设计条件》（案卷编号：PB20210058）要求配建相关配套设施</w:t>
      </w:r>
      <w:r>
        <w:rPr>
          <w:rFonts w:hint="eastAsia" w:ascii="仿宋_GB2312" w:hAnsi="仿宋_GB2312" w:eastAsia="仿宋_GB2312" w:cs="仿宋_GB2312"/>
          <w:color w:val="auto"/>
          <w:sz w:val="32"/>
          <w:szCs w:val="32"/>
          <w:highlight w:val="none"/>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keepNext w:val="0"/>
        <w:keepLines w:val="0"/>
        <w:pageBreakBefore w:val="0"/>
        <w:widowControl w:val="0"/>
        <w:tabs>
          <w:tab w:val="left" w:pos="1355"/>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highlight w:val="none"/>
        </w:rPr>
        <w:t>中华人民共和国境内外的法人、自然人和其他组织（除法律法规另有规定外）均可申请参加竞买。申请人可以单独申请，也可以联合申请</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按时足额交纳竞买保证金。该宗地竞买保证金可用人民币或外币（暂限于美元、港币）支付。以人民币缴交竞买保证金的，须缴交人民币240万元，如以外币缴交竞买保证金的，须缴交美元38万元、港币290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（三）申请人及其控股股东存在下列违法、违规、违约行为之一的，不得参与上述地块竞买活动：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1.存在伪造公文骗取用地和非法倒卖土地等犯罪行为的；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2.存在非法转让土地使用权等违法行为的；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3.因企业原因造成土地闲置一年以上且至报名日止未处罚完结的；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4.开发建设企业有违背出让合同约定条件开发利用土地情形且至报名日止未处罚完结的；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5.至报名日止仍拖欠政府地价款的;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6.被列入问题楼盘开发企业黑名单的;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7.存在其它被禁止竞买土地行为的</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六、违约及处理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sz w:val="32"/>
          <w:szCs w:val="32"/>
        </w:rPr>
        <w:t>竞得人有下列行为之一的，取消竞得人资格，</w:t>
      </w:r>
      <w:r>
        <w:rPr>
          <w:rFonts w:hint="default" w:ascii="Times New Roman" w:hAnsi="Times New Roman" w:eastAsia="仿宋_GB2312" w:cs="Times New Roman"/>
          <w:sz w:val="32"/>
          <w:szCs w:val="32"/>
          <w:lang w:val="en-US" w:eastAsia="zh-CN"/>
        </w:rPr>
        <w:t>竞买保证金不予退还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并由有关部门依法处理，</w:t>
      </w:r>
      <w:r>
        <w:rPr>
          <w:rFonts w:hint="default" w:ascii="Times New Roman" w:hAnsi="Times New Roman" w:eastAsia="仿宋_GB2312" w:cs="Times New Roman"/>
          <w:sz w:val="32"/>
          <w:szCs w:val="32"/>
        </w:rPr>
        <w:t>造成损失的，竞得人还应依法承担赔偿责任</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（一）不符合竞买资格条件的。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（二）采取行贿、恶意串通等非法手段竞得的。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（三）竞得人以其他非法手段竞得的。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（四）竞得人逾期或拒绝签订《成交确认书》的。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（五）竞得人逾期或拒绝签订《出让合同》的。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（六）不按本须知规定提供有关纸质文件材料，或提供虚假文件材料、隐瞒重要事实，引起交易纠纷的。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pPr>
      <w:r>
        <w:rPr>
          <w:rFonts w:hint="eastAsia" w:ascii="仿宋_GB2312" w:hAnsi="仿宋_GB2312" w:eastAsia="仿宋_GB2312" w:cs="仿宋_GB2312"/>
          <w:kern w:val="2"/>
          <w:sz w:val="32"/>
          <w:szCs w:val="32"/>
          <w:lang w:val="en-US" w:eastAsia="zh-CN" w:bidi="ar-SA"/>
        </w:rPr>
        <w:t>（七）构成违约责任的其他行为。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七、网上挂牌出让地块的起始价、增加幅度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挂牌起始价为人民币</w:t>
      </w:r>
      <w:r>
        <w:rPr>
          <w:rFonts w:hint="eastAsia" w:ascii="仿宋_GB2312" w:hAnsi="仿宋_GB2312" w:eastAsia="仿宋_GB2312" w:cs="仿宋_GB2312"/>
          <w:kern w:val="2"/>
          <w:sz w:val="32"/>
          <w:szCs w:val="32"/>
          <w:u w:val="single"/>
          <w:lang w:val="en-US" w:eastAsia="zh-CN" w:bidi="ar-SA"/>
        </w:rPr>
        <w:t>捌佰万元整</w:t>
      </w:r>
      <w:r>
        <w:rPr>
          <w:rFonts w:hint="eastAsia" w:ascii="仿宋_GB2312" w:hAnsi="仿宋_GB2312" w:eastAsia="仿宋_GB2312" w:cs="仿宋_GB2312"/>
          <w:kern w:val="2"/>
          <w:sz w:val="32"/>
          <w:szCs w:val="32"/>
          <w:lang w:val="en-US" w:eastAsia="zh-CN" w:bidi="ar-SA"/>
        </w:rPr>
        <w:t>（大写）（￥</w:t>
      </w:r>
      <w:r>
        <w:rPr>
          <w:rFonts w:hint="eastAsia" w:ascii="仿宋_GB2312" w:hAnsi="仿宋_GB2312" w:eastAsia="仿宋_GB2312" w:cs="仿宋_GB2312"/>
          <w:kern w:val="2"/>
          <w:sz w:val="32"/>
          <w:szCs w:val="32"/>
          <w:u w:val="single"/>
          <w:lang w:val="en-US" w:eastAsia="zh-CN" w:bidi="ar-SA"/>
        </w:rPr>
        <w:t>8</w:t>
      </w:r>
      <w:r>
        <w:rPr>
          <w:rFonts w:hint="eastAsia" w:ascii="仿宋_GB2312" w:hAnsi="仿宋_GB2312" w:eastAsia="仿宋_GB2312" w:cs="仿宋_GB2312"/>
          <w:sz w:val="32"/>
          <w:szCs w:val="32"/>
          <w:u w:val="single"/>
        </w:rPr>
        <w:t>00</w:t>
      </w:r>
      <w:r>
        <w:rPr>
          <w:rFonts w:hint="eastAsia" w:ascii="仿宋_GB2312" w:hAnsi="仿宋_GB2312" w:eastAsia="仿宋_GB2312" w:cs="仿宋_GB2312"/>
          <w:kern w:val="2"/>
          <w:sz w:val="32"/>
          <w:szCs w:val="32"/>
          <w:lang w:val="en-US" w:eastAsia="zh-CN" w:bidi="ar-SA"/>
        </w:rPr>
        <w:t>万元）,增价幅度为人民币</w:t>
      </w:r>
      <w:r>
        <w:rPr>
          <w:rFonts w:hint="eastAsia" w:ascii="仿宋_GB2312" w:hAnsi="仿宋_GB2312" w:eastAsia="仿宋_GB2312" w:cs="仿宋_GB2312"/>
          <w:kern w:val="2"/>
          <w:sz w:val="32"/>
          <w:szCs w:val="32"/>
          <w:u w:val="single"/>
          <w:lang w:val="en-US" w:eastAsia="zh-CN" w:bidi="ar-SA"/>
        </w:rPr>
        <w:t>伍拾万元</w:t>
      </w:r>
      <w:r>
        <w:rPr>
          <w:rFonts w:hint="eastAsia" w:ascii="仿宋_GB2312" w:hAnsi="仿宋_GB2312" w:eastAsia="仿宋_GB2312" w:cs="仿宋_GB2312"/>
          <w:kern w:val="2"/>
          <w:sz w:val="32"/>
          <w:szCs w:val="32"/>
          <w:lang w:val="en-US" w:eastAsia="zh-CN" w:bidi="ar-SA"/>
        </w:rPr>
        <w:t>（大写）（￥</w:t>
      </w:r>
      <w:r>
        <w:rPr>
          <w:rFonts w:hint="eastAsia" w:ascii="仿宋_GB2312" w:hAnsi="仿宋_GB2312" w:eastAsia="仿宋_GB2312" w:cs="仿宋_GB2312"/>
          <w:kern w:val="2"/>
          <w:sz w:val="32"/>
          <w:szCs w:val="32"/>
          <w:u w:val="single"/>
          <w:lang w:val="en-US" w:eastAsia="zh-CN" w:bidi="ar-SA"/>
        </w:rPr>
        <w:t>50</w:t>
      </w:r>
      <w:r>
        <w:rPr>
          <w:rFonts w:hint="eastAsia" w:ascii="仿宋_GB2312" w:hAnsi="仿宋_GB2312" w:eastAsia="仿宋_GB2312" w:cs="仿宋_GB2312"/>
          <w:kern w:val="2"/>
          <w:sz w:val="32"/>
          <w:szCs w:val="32"/>
          <w:lang w:val="en-US" w:eastAsia="zh-CN" w:bidi="ar-SA"/>
        </w:rPr>
        <w:t>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八、本次网上挂牌出让活动有关时间</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网上挂牌时间为10个工作日，不包括法定节假日。具体如下：</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（一）网上挂牌起始时间：2021年11月29日9时。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（二）网上挂牌截止时间：2021年12月13日10时。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（三）网上挂牌交纳保证金截止时间：2021年12月13日9时。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（四）网上挂牌报价时间：网上挂牌起止时间内。</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九、挂牌文件获取</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挂牌出让地块现状图；</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4、红线图；</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sz w:val="32"/>
          <w:szCs w:val="32"/>
        </w:rPr>
        <w:t>《建设用地规划设计条件》（案卷编号：PB20210058）</w:t>
      </w:r>
      <w:r>
        <w:rPr>
          <w:rFonts w:hint="eastAsia" w:ascii="仿宋_GB2312" w:hAnsi="仿宋_GB2312" w:eastAsia="仿宋_GB2312" w:cs="仿宋_GB2312"/>
          <w:sz w:val="32"/>
          <w:szCs w:val="32"/>
        </w:rPr>
        <w:t>；</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val="en-US" w:eastAsia="zh-CN"/>
        </w:rPr>
        <w:t>国有建设用地使用权电子挂牌</w:t>
      </w:r>
      <w:r>
        <w:rPr>
          <w:rFonts w:hint="eastAsia" w:ascii="仿宋_GB2312" w:hAnsi="仿宋_GB2312" w:eastAsia="仿宋_GB2312" w:cs="仿宋_GB2312"/>
          <w:sz w:val="32"/>
          <w:szCs w:val="32"/>
        </w:rPr>
        <w:t>交易成交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书”）样本；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《国有建设用地使用权出让合同》（以下简称“出让合同”）样本；</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sz w:val="32"/>
          <w:szCs w:val="32"/>
          <w:lang w:val="en-US" w:eastAsia="zh-CN"/>
        </w:rPr>
        <w:t>8、其他相关文件</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十、办理数字证书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w:t>
      </w:r>
      <w:r>
        <w:rPr>
          <w:rFonts w:hint="eastAsia" w:ascii="仿宋_GB2312" w:hAnsi="仿宋_GB2312" w:eastAsia="仿宋_GB2312" w:cs="仿宋_GB2312"/>
          <w:sz w:val="32"/>
          <w:szCs w:val="32"/>
        </w:rPr>
        <w:t>0752-7121029</w:t>
      </w:r>
      <w:r>
        <w:rPr>
          <w:rFonts w:hint="eastAsia" w:ascii="仿宋_GB2312" w:hAnsi="仿宋_GB2312" w:eastAsia="仿宋_GB2312" w:cs="仿宋_GB2312"/>
          <w:sz w:val="32"/>
          <w:szCs w:val="32"/>
          <w:highlight w:val="none"/>
        </w:rPr>
        <w:t>）申请办理。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数字证书的办理流程详见网上挂牌交易系统上的《数字证书办理指南》</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十一、答疑及现场踏勘</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申请人对网上挂牌出让文件有疑问的，可在网上挂牌活动开始前以书面或者口头方式向本中心咨询。有意竞买者可自行踏勘现场。（可在网上查阅位置图和现状图）。</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十二、竞买保证金</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（一）竞买保证金是申请人参加网上挂牌交易活动的资格条件。按规定将竞买保证金汇入指定账户，是参加网上挂牌交易活动的必经程序。</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（二）本宗地竞买保证金到账截止时间为2021年12月13日9时整，竞买保证金为人民币</w:t>
      </w:r>
      <w:r>
        <w:rPr>
          <w:rFonts w:hint="eastAsia" w:ascii="仿宋_GB2312" w:hAnsi="仿宋_GB2312" w:eastAsia="仿宋_GB2312" w:cs="仿宋_GB2312"/>
          <w:kern w:val="2"/>
          <w:sz w:val="32"/>
          <w:szCs w:val="32"/>
          <w:u w:val="single"/>
          <w:lang w:val="en-US" w:eastAsia="zh-CN" w:bidi="ar-SA"/>
        </w:rPr>
        <w:t>贰佰肆拾万元整</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u w:val="single"/>
          <w:lang w:val="en-US" w:eastAsia="zh-CN" w:bidi="ar-SA"/>
        </w:rPr>
        <w:t>240</w:t>
      </w:r>
      <w:r>
        <w:rPr>
          <w:rFonts w:hint="eastAsia" w:ascii="仿宋_GB2312" w:hAnsi="仿宋_GB2312" w:eastAsia="仿宋_GB2312" w:cs="仿宋_GB2312"/>
          <w:kern w:val="2"/>
          <w:sz w:val="32"/>
          <w:szCs w:val="32"/>
          <w:lang w:val="en-US" w:eastAsia="zh-CN" w:bidi="ar-SA"/>
        </w:rPr>
        <w:t>万元）；如以外币缴交竞买保证金的，须缴交美元</w:t>
      </w:r>
      <w:r>
        <w:rPr>
          <w:rFonts w:hint="eastAsia" w:ascii="仿宋_GB2312" w:hAnsi="仿宋_GB2312" w:eastAsia="仿宋_GB2312" w:cs="仿宋_GB2312"/>
          <w:kern w:val="2"/>
          <w:sz w:val="32"/>
          <w:szCs w:val="32"/>
          <w:u w:val="single"/>
          <w:lang w:val="en-US" w:eastAsia="zh-CN" w:bidi="ar-SA"/>
        </w:rPr>
        <w:t>叁拾捌万元整</w:t>
      </w:r>
      <w:r>
        <w:rPr>
          <w:rFonts w:hint="eastAsia" w:ascii="仿宋_GB2312" w:hAnsi="仿宋_GB2312" w:eastAsia="仿宋_GB2312" w:cs="仿宋_GB2312"/>
          <w:kern w:val="2"/>
          <w:sz w:val="32"/>
          <w:szCs w:val="32"/>
          <w:lang w:val="en-US" w:eastAsia="zh-CN" w:bidi="ar-SA"/>
        </w:rPr>
        <w:t>(USD</w:t>
      </w:r>
      <w:r>
        <w:rPr>
          <w:rFonts w:hint="eastAsia" w:ascii="仿宋_GB2312" w:hAnsi="仿宋_GB2312" w:eastAsia="仿宋_GB2312" w:cs="仿宋_GB2312"/>
          <w:kern w:val="2"/>
          <w:sz w:val="32"/>
          <w:szCs w:val="32"/>
          <w:u w:val="single"/>
          <w:lang w:val="en-US" w:eastAsia="zh-CN" w:bidi="ar-SA"/>
        </w:rPr>
        <w:t>38</w:t>
      </w:r>
      <w:r>
        <w:rPr>
          <w:rFonts w:hint="eastAsia" w:ascii="仿宋_GB2312" w:hAnsi="仿宋_GB2312" w:eastAsia="仿宋_GB2312" w:cs="仿宋_GB2312"/>
          <w:kern w:val="2"/>
          <w:sz w:val="32"/>
          <w:szCs w:val="32"/>
          <w:lang w:val="en-US" w:eastAsia="zh-CN" w:bidi="ar-SA"/>
        </w:rPr>
        <w:t>万元）或港币</w:t>
      </w:r>
      <w:r>
        <w:rPr>
          <w:rFonts w:hint="eastAsia" w:ascii="仿宋_GB2312" w:hAnsi="仿宋_GB2312" w:eastAsia="仿宋_GB2312" w:cs="仿宋_GB2312"/>
          <w:kern w:val="2"/>
          <w:sz w:val="32"/>
          <w:szCs w:val="32"/>
          <w:u w:val="single"/>
          <w:lang w:val="en-US" w:eastAsia="zh-CN" w:bidi="ar-SA"/>
        </w:rPr>
        <w:t>贰佰玖拾万元整</w:t>
      </w:r>
      <w:r>
        <w:rPr>
          <w:rFonts w:hint="eastAsia" w:ascii="仿宋_GB2312" w:hAnsi="仿宋_GB2312" w:eastAsia="仿宋_GB2312" w:cs="仿宋_GB2312"/>
          <w:kern w:val="2"/>
          <w:sz w:val="32"/>
          <w:szCs w:val="32"/>
          <w:lang w:val="en-US" w:eastAsia="zh-CN" w:bidi="ar-SA"/>
        </w:rPr>
        <w:t>(HKD</w:t>
      </w:r>
      <w:r>
        <w:rPr>
          <w:rFonts w:hint="eastAsia" w:ascii="仿宋_GB2312" w:hAnsi="仿宋_GB2312" w:eastAsia="仿宋_GB2312" w:cs="仿宋_GB2312"/>
          <w:kern w:val="2"/>
          <w:sz w:val="32"/>
          <w:szCs w:val="32"/>
          <w:u w:val="single"/>
          <w:lang w:val="en-US" w:eastAsia="zh-CN" w:bidi="ar-SA"/>
        </w:rPr>
        <w:t>290</w:t>
      </w:r>
      <w:r>
        <w:rPr>
          <w:rFonts w:hint="eastAsia" w:ascii="仿宋_GB2312" w:hAnsi="仿宋_GB2312" w:eastAsia="仿宋_GB2312" w:cs="仿宋_GB2312"/>
          <w:kern w:val="2"/>
          <w:sz w:val="32"/>
          <w:szCs w:val="32"/>
          <w:lang w:val="en-US" w:eastAsia="zh-CN" w:bidi="ar-SA"/>
        </w:rPr>
        <w:t>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（三）竞买人应当提前交纳竞买保证金以确保在到账截止时间前到账，超过到账截止时间的保证金，网上挂牌交易系统将不予受理，造成的损失由竞买人自行承担。</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（四）跨地区或跨行转账的竞买人，需预足资金的在途时间，以免影响竞买人及时取得竞买资格。</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（五）竞买保证金到账时间以网上挂牌交易系统颁发《保证金到账通知书》为准。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（六）竞买保证金开户单位：惠州市公共资源交易中心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竞买保证金账号：网上挂牌交易系统随机产生子账号。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开户银行：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1、中国建设银行惠州广场支行。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2、中国银行惠州分行。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3、中国工商银行股份有限公司惠州富力国际中心支行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4、中国农业银行惠州分行。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5、广发银行惠州江北支行。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6、交通银行惠州分行。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7、惠州市农村商业银行股份有限公司惠城支行。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8、上海浦东发展银行股份有限公司惠州分行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9、中国民生银行股份有限公司惠州分行。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10、中信银行股份有限公司惠州分行。(备注:中信银行股份有限公司惠州分行本行转账须到银行柜面办理)。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十三、网上报价规则</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（一）本次网上挂牌以增价方式进行报价，每次加价幅度为本须知规定增价幅度的整数倍。</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（二）竞买人的首次报价不低于起始价，此后的竞买人报价须高于报价当时的最新网上挂牌价格，并以增价幅度的整数倍加价。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（三）竞买人通过网上挂牌交易提交的报价一经报出，不得撤回。</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（四）在报价期间，竞买人可多次报价。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（五）在报价期内，竞买人必须进行一次有效报价，才能参加网上限时竞价。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（六）竞买人报价有下列情形之一的，为无效报价：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1、报价未在网上挂牌期限内收到的。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2、报价因竞买人网络故障未在网上挂牌报价期限内收到的。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3、报价不符合报价规则的。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4、报价低于网上挂牌起始价的。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5、报价不符合网上挂牌公告、须知及相关交易文件规定的其他情形。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十四、系统操作</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土地与矿业交易系统竞买人操作视频可在本中心网上挂牌交易系统（https://www.hzgtjy.com/）下载。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十五、网上挂牌程序</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（一）公布网上挂牌信息</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我中心将有关宗地的位置、面积、用途、使用年期、规划要求、起始价、增价规则及增价幅度等予以公布。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有意竞买者可登录惠州市公共资源交易中心土地与矿业网上挂牌交易系统网站(https://www.hzgtjy.com/)查询。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（二）申请竞买</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（三）交纳保证金</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（四）网上挂牌报价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1、网上挂牌交易从网上挂牌起始时间起开始接受报价。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2、办理好数字证书、按时足额交付竞买保证金并经网上挂牌交易系统确认的竞买人通过网上挂牌交易系统进行报价。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3、网上挂牌交易系统对符合规定的报价予以确认，并更新显示当前报价。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4、网上挂牌交易系统继续接受新的报价。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5、网上挂牌报价规则见《须知》第十三条。</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（五）网上挂牌截止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1、网上挂牌交易系统将在网上挂牌截止时间自动确定网上挂牌截止。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2、网上挂牌交易期限截止时，无人报价的，挂牌不成交。</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3、网上挂牌交易期限截止时，只有1个竞买人报价，且报价不低于起始价的，挂牌成交，该报价者为竞得人。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网上限时竞价中无人报价的，以网上挂牌截止时出价最高且报价不低于起始价者为竞得人。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经网上挂牌交易系统询问完毕后，没有竞买人表示愿意继续竞价的，以网上挂牌交易截止时报价最高且报价不低于起始价者为竞得人。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（六）资格审查和签订《成交确认书》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highlight w:val="none"/>
        </w:rPr>
        <w:t>网上挂牌交易结束后，竞得人应当自行下载打印《竞买申请书》、《竞价结果通知书》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《竞买保证金到账通知书》并盖章</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highlight w:val="none"/>
        </w:rPr>
        <w:t>竞</w:t>
      </w:r>
      <w:r>
        <w:rPr>
          <w:rFonts w:hint="eastAsia" w:ascii="仿宋_GB2312" w:hAnsi="仿宋_GB2312" w:eastAsia="仿宋_GB2312" w:cs="仿宋_GB2312"/>
          <w:sz w:val="32"/>
          <w:szCs w:val="32"/>
          <w:highlight w:val="none"/>
          <w:lang w:val="en-US" w:eastAsia="zh-CN"/>
        </w:rPr>
        <w:t>得</w:t>
      </w:r>
      <w:r>
        <w:rPr>
          <w:rFonts w:hint="eastAsia" w:ascii="仿宋_GB2312" w:hAnsi="仿宋_GB2312" w:eastAsia="仿宋_GB2312" w:cs="仿宋_GB2312"/>
          <w:sz w:val="32"/>
          <w:szCs w:val="32"/>
          <w:highlight w:val="none"/>
        </w:rPr>
        <w:t>人应当在网上挂牌交易结果公布</w:t>
      </w:r>
      <w:r>
        <w:rPr>
          <w:rFonts w:hint="eastAsia" w:ascii="仿宋_GB2312" w:hAnsi="仿宋_GB2312" w:eastAsia="仿宋_GB2312" w:cs="仿宋_GB2312"/>
          <w:sz w:val="32"/>
          <w:szCs w:val="32"/>
          <w:highlight w:val="none"/>
          <w:lang w:val="en-US" w:eastAsia="zh-CN"/>
        </w:rPr>
        <w:t>之日起5</w:t>
      </w:r>
      <w:r>
        <w:rPr>
          <w:rFonts w:hint="eastAsia" w:ascii="仿宋_GB2312" w:hAnsi="仿宋_GB2312" w:eastAsia="仿宋_GB2312" w:cs="仿宋_GB2312"/>
          <w:sz w:val="32"/>
          <w:szCs w:val="32"/>
          <w:highlight w:val="none"/>
        </w:rPr>
        <w:t>个工作</w:t>
      </w:r>
      <w:r>
        <w:rPr>
          <w:rFonts w:hint="eastAsia" w:ascii="仿宋_GB2312" w:hAnsi="仿宋_GB2312" w:eastAsia="仿宋_GB2312" w:cs="仿宋_GB2312"/>
          <w:color w:val="auto"/>
          <w:sz w:val="32"/>
          <w:szCs w:val="32"/>
          <w:highlight w:val="none"/>
        </w:rPr>
        <w:t>日内持公司公章及下列有关纸质材料到本中心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由委托方进行资格审查，符合竞买资格的，竞得人应当</w:t>
      </w:r>
      <w:r>
        <w:rPr>
          <w:rFonts w:hint="eastAsia" w:ascii="仿宋_GB2312" w:hAnsi="仿宋_GB2312" w:eastAsia="仿宋_GB2312" w:cs="仿宋_GB2312"/>
          <w:color w:val="auto"/>
          <w:sz w:val="32"/>
          <w:szCs w:val="32"/>
          <w:highlight w:val="none"/>
        </w:rPr>
        <w:t>在网上挂牌交易结果公布</w:t>
      </w:r>
      <w:r>
        <w:rPr>
          <w:rFonts w:hint="eastAsia" w:ascii="仿宋_GB2312" w:hAnsi="仿宋_GB2312" w:eastAsia="仿宋_GB2312" w:cs="仿宋_GB2312"/>
          <w:color w:val="auto"/>
          <w:sz w:val="32"/>
          <w:szCs w:val="32"/>
          <w:highlight w:val="none"/>
          <w:lang w:val="en-US" w:eastAsia="zh-CN"/>
        </w:rPr>
        <w:t>之日起5</w:t>
      </w:r>
      <w:r>
        <w:rPr>
          <w:rFonts w:hint="eastAsia" w:ascii="仿宋_GB2312" w:hAnsi="仿宋_GB2312" w:eastAsia="仿宋_GB2312" w:cs="仿宋_GB2312"/>
          <w:color w:val="auto"/>
          <w:sz w:val="32"/>
          <w:szCs w:val="32"/>
          <w:highlight w:val="none"/>
        </w:rPr>
        <w:t>个工作日内</w:t>
      </w:r>
      <w:r>
        <w:rPr>
          <w:rFonts w:hint="eastAsia" w:ascii="仿宋_GB2312" w:hAnsi="仿宋_GB2312" w:eastAsia="仿宋_GB2312" w:cs="仿宋_GB2312"/>
          <w:color w:val="auto"/>
          <w:sz w:val="32"/>
          <w:szCs w:val="32"/>
          <w:highlight w:val="none"/>
          <w:lang w:val="en-US" w:eastAsia="zh-CN"/>
        </w:rPr>
        <w:t>签订</w:t>
      </w:r>
      <w:r>
        <w:rPr>
          <w:rFonts w:hint="eastAsia" w:ascii="仿宋_GB2312" w:hAnsi="仿宋_GB2312" w:eastAsia="仿宋_GB2312" w:cs="仿宋_GB2312"/>
          <w:color w:val="auto"/>
          <w:sz w:val="32"/>
          <w:szCs w:val="32"/>
          <w:highlight w:val="none"/>
        </w:rPr>
        <w:t>《成交确认书》</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（1）《竞买申请书》（加盖公章）。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（2）《竞价结果通知书》（加盖公章）。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（3）《竞买保证金到账通知书》（加盖公章）。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（4）转账凭证复印件（加盖公章）。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（5）申请竞买人有效的《营业执照》复印件（加盖公章）（二份）。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（6）法定代表人身份证复印件（加盖公章）（二份）。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（7）授权他人代理的授权委托书及代理人身份证复印件（核对原件）。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（8）联合竞买协议（联合竞买的提供）。</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（9）竞买人及其控股股东不存在违法、违规、违约行为的承诺书。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上述第（7）、（9）项材料须使用本中心标准样本，可在本系统的“挂牌文件”中下载。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竞买人如需保存上述竞买报名资料应自留备份，本中心不予退还。</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联合竞买协议要约定联合各方的权利和义务。必须明确表达参与联合竞买的各方、参与竞买的代表人、联合各方的出资比例和签订《出让合同》时的受让人。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上述文件中，申请书必须用中文书写，其他文件可以使用其它语言，但必须附中文译本，所有文件的解释以中文译本为准。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（七）网上挂牌出让结果公示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我中心将在本次国有建设用地使用权网上挂牌出让活动结束后10个工作日内，在中国土地市场网、惠州市公共资源交易中心网和本中心电子显示屏公布本次国有土地使用权网上挂牌出让结果。</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十六、注意事项</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（二）本次国有建设用地使用权网上挂牌出让为无底价挂牌出让，按照价高者得的原则确定竞得人。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highlight w:val="none"/>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补充条款，也可按约定直接与新公司签订《出让合同》</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（五）确定竞得人后，竞得人持《竞价结果通知书》以及参加本宗地网上挂牌交易的所须资料到惠州市公共资源交易中心土地矿业交易部申办相关成交确认手续。</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《竞价结果通知书》对挂牌人和竞得人具有法律效力，挂牌人改变网上挂牌结果的，或者竞得人放弃竞得宗地的，应当承担相应法律责任。</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网上挂牌系统确定成交后，竞得人缴纳的竞买保证金按成交价的10%转作定金。如竞买保证金不足以缴纳定金，不足部分在交易系统确定成交之日起5个工作日内补齐；如竞买保证金转作定金后有剩余，余额抵作土地成交价的预付款。竞得人签订《出让合同》后，定金可抵作土地成交价款，余额转作成交价款。</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以外币缴交竞买保证金的，扣除定金后余额部分返回给竞得人，待竞得人按时缴清成交价款后，再将定金退还，不计利息。</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r>
        <w:rPr>
          <w:rFonts w:hint="eastAsia" w:ascii="仿宋_GB2312" w:hAnsi="仿宋_GB2312" w:eastAsia="仿宋_GB2312" w:cs="仿宋_GB2312"/>
          <w:b/>
          <w:bCs/>
          <w:sz w:val="32"/>
          <w:szCs w:val="32"/>
          <w:highlight w:val="none"/>
          <w:shd w:val="clear" w:color="auto" w:fill="auto"/>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为避免网络延迟问题，竞买人首次出价应在网上挂牌截止前10分钟出价，以防止网上挂牌交易无法及时接收到报价的情况发生。5分钟倒计时竞价期间，请不要在最后时段报价，以防网络延时造成报价提交不成功。</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（八）有下列情形之一的，本中心将暂停、中止或终止网上挂牌交易活动：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1、网上挂牌交易系统受到网络恶意入侵的。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2、因网上挂牌交易系统遭受破坏或发生电力、网络故障等不可抗力因素，导致网上挂牌交易系统不能正常运行的。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3、网上挂牌交易委托人根据有关规定要求暂停、中止或终止网上挂牌交易活动的。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4、涉及土地或矿业权纠纷，不能及时解决的。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5、司法机关要求暂停、中止或终止网上挂牌交易活动的。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6、市自然资源管理部门或交易中心认为应当暂停、中止或终止网上挂牌交易活动的其他情形。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（九）网上挂牌成交价即为该幅地块的总地价款，竞得人除支付成交价款外，还需支付契税、印花税等有关费用。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（十）竞得人与出让人签订《出让合同》后，应当按出让合同约定支付网上挂牌成交价款。竞得人付清全部网上挂牌成交价款后，依法申请办理土地登记，领取《不动产权证书》。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（十一）网上挂牌不成交的，应当按规定由委托方和本中心重新组织出让。</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（十二）本中心认为需要对网上挂牌出让须知、公告及相关交易文件作出修改、补充时，将通过原公告发布渠道公告，不作另行通知。</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（十三）本须知及公告涉及的时间期限，以惠州市公共资源交易中心土地与矿业网上挂牌交易系统服务器的时间为准。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（十四）竞买人在本次网上挂牌交易过程中与惠州市公共资源交易中心发生任何争议，由双方协商。协商不成的可依法提交惠州市仲裁机构仲裁解决。</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（十五）本中心对本《须知》有解释权。未尽事宜依照《招标拍卖挂牌出让国有土地使用权规范》办理。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惠州市公共资源交易中心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eastAsia="仿宋_GB2312"/>
          <w:lang w:val="en-US" w:eastAsia="zh-CN"/>
        </w:rPr>
      </w:pPr>
      <w:r>
        <w:rPr>
          <w:rFonts w:hint="eastAsia" w:ascii="仿宋_GB2312" w:hAnsi="仿宋_GB2312" w:eastAsia="仿宋_GB2312" w:cs="仿宋_GB2312"/>
          <w:kern w:val="2"/>
          <w:sz w:val="32"/>
          <w:szCs w:val="32"/>
          <w:lang w:val="en-US" w:eastAsia="zh-CN" w:bidi="ar-SA"/>
        </w:rPr>
        <w:t xml:space="preserve">                         2021年11月8</w:t>
      </w:r>
      <w:bookmarkStart w:id="0" w:name="_GoBack"/>
      <w:bookmarkEnd w:id="0"/>
      <w:r>
        <w:rPr>
          <w:rFonts w:hint="eastAsia" w:ascii="仿宋_GB2312" w:hAnsi="仿宋_GB2312" w:eastAsia="仿宋_GB2312" w:cs="仿宋_GB2312"/>
          <w:kern w:val="2"/>
          <w:sz w:val="32"/>
          <w:szCs w:val="32"/>
          <w:lang w:val="en-US" w:eastAsia="zh-CN" w:bidi="ar-SA"/>
        </w:rPr>
        <w:t>日</w:t>
      </w:r>
      <w:r>
        <w:rPr>
          <w:rFonts w:hint="eastAsia" w:ascii="仿宋_GB2312" w:hAnsi="宋体" w:eastAsia="仿宋_GB2312" w:cs="仿宋_GB2312"/>
          <w:sz w:val="25"/>
          <w:szCs w:val="25"/>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outlineLvl w:val="9"/>
      </w:pPr>
    </w:p>
    <w:sectPr>
      <w:footerReference r:id="rId3" w:type="default"/>
      <w:pgSz w:w="11906" w:h="16838"/>
      <w:pgMar w:top="1440" w:right="1485"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73EF0"/>
    <w:rsid w:val="015725A3"/>
    <w:rsid w:val="0398491D"/>
    <w:rsid w:val="055C6BEA"/>
    <w:rsid w:val="07175A66"/>
    <w:rsid w:val="08E86ED8"/>
    <w:rsid w:val="0CAF17E0"/>
    <w:rsid w:val="15937805"/>
    <w:rsid w:val="16462F87"/>
    <w:rsid w:val="1E247C15"/>
    <w:rsid w:val="1F973EF0"/>
    <w:rsid w:val="240D702E"/>
    <w:rsid w:val="248E76E5"/>
    <w:rsid w:val="2AAB2AC2"/>
    <w:rsid w:val="2E6361D5"/>
    <w:rsid w:val="33A6006B"/>
    <w:rsid w:val="33B40EC2"/>
    <w:rsid w:val="35B67291"/>
    <w:rsid w:val="36C9207F"/>
    <w:rsid w:val="377D59C2"/>
    <w:rsid w:val="389E78B3"/>
    <w:rsid w:val="3AA2318F"/>
    <w:rsid w:val="3B6E17C4"/>
    <w:rsid w:val="3E910382"/>
    <w:rsid w:val="45622B90"/>
    <w:rsid w:val="45B02BB7"/>
    <w:rsid w:val="478005E7"/>
    <w:rsid w:val="49196790"/>
    <w:rsid w:val="49DD3017"/>
    <w:rsid w:val="4FDF4DC1"/>
    <w:rsid w:val="50B63888"/>
    <w:rsid w:val="5AC8320D"/>
    <w:rsid w:val="615E04BA"/>
    <w:rsid w:val="63D72A3D"/>
    <w:rsid w:val="66DD7F49"/>
    <w:rsid w:val="69FE57C5"/>
    <w:rsid w:val="6CC001F7"/>
    <w:rsid w:val="76CC2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仿宋_GB2312"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5">
    <w:name w:val="first-child"/>
    <w:basedOn w:val="6"/>
    <w:qFormat/>
    <w:uiPriority w:val="0"/>
  </w:style>
  <w:style w:type="character" w:customStyle="1" w:styleId="16">
    <w:name w:val="actspan2"/>
    <w:basedOn w:val="6"/>
    <w:qFormat/>
    <w:uiPriority w:val="0"/>
  </w:style>
  <w:style w:type="character" w:customStyle="1" w:styleId="17">
    <w:name w:val="layui-layer-tabnow"/>
    <w:basedOn w:val="6"/>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3</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2021-08-10T02:46:00Z</dcterms:created>
  <dc:creator>杨惠丹</dc:creator>
  <cp:lastModifiedBy>杨惠丹</cp:lastModifiedBy>
  <cp:lastPrinted>2021-11-05T00:42:00Z</cp:lastPrinted>
  <dcterms:modified xsi:type="dcterms:W3CDTF">2021-11-08T06:52:39Z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