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048</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二、网上挂牌竞买时间为</w:t>
      </w:r>
      <w:r>
        <w:rPr>
          <w:rFonts w:hint="eastAsia" w:ascii="仿宋_GB2312" w:hAnsi="仿宋_GB2312" w:eastAsia="仿宋_GB2312" w:cs="仿宋_GB2312"/>
          <w:sz w:val="32"/>
          <w:szCs w:val="32"/>
          <w:highlight w:val="none"/>
          <w:lang w:val="en-US" w:eastAsia="zh-CN"/>
        </w:rPr>
        <w:t>2021年11月29日9</w:t>
      </w:r>
      <w:r>
        <w:rPr>
          <w:rFonts w:hint="eastAsia" w:ascii="仿宋_GB2312" w:hAnsi="仿宋_GB2312" w:eastAsia="仿宋_GB2312" w:cs="仿宋_GB2312"/>
          <w:sz w:val="32"/>
          <w:szCs w:val="32"/>
          <w:highlight w:val="none"/>
        </w:rPr>
        <w:t>时至</w:t>
      </w:r>
      <w:r>
        <w:rPr>
          <w:rFonts w:hint="eastAsia" w:ascii="仿宋_GB2312" w:hAnsi="仿宋_GB2312" w:eastAsia="仿宋_GB2312" w:cs="仿宋_GB2312"/>
          <w:sz w:val="32"/>
          <w:szCs w:val="32"/>
          <w:highlight w:val="none"/>
          <w:lang w:val="en-US" w:eastAsia="zh-CN"/>
        </w:rPr>
        <w:t>2021年12月13日10</w:t>
      </w:r>
      <w:r>
        <w:rPr>
          <w:rFonts w:hint="eastAsia" w:ascii="仿宋_GB2312" w:hAns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三、挂牌起始价为人民币800万元，每次报价加价幅度为人民币50万元的整数倍。</w:t>
      </w:r>
    </w:p>
    <w:p>
      <w:pPr>
        <w:pStyle w:val="3"/>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四、中华人民共和国境内外的法人、自然人和其他组织（除法律法规另有规定外）均可申请参加竞买。申请人可以单独申请，也可以联合申请：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国有建设用地使用权出让合同》（以下简称《出让合同》），在竞得人按约定办理完新公司注册登记手续后，再与新公司签订国有建设用地使用权出让合同补充条款，也可按约定直接与新公司签订《出让合同》；</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 w:val="32"/>
          <w:szCs w:val="32"/>
          <w:highlight w:val="none"/>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五、该宗地竞买保证金可用人民币及外币（暂限于美元、港币）支付。</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六</w:t>
      </w:r>
      <w:r>
        <w:rPr>
          <w:rFonts w:hint="eastAsia" w:ascii="仿宋_GB2312" w:hAnsi="仿宋_GB2312" w:eastAsia="仿宋_GB2312" w:cs="仿宋_GB2312"/>
          <w:szCs w:val="32"/>
          <w:highlight w:val="none"/>
        </w:rPr>
        <w:t>、申请人应具备的其他条件：</w:t>
      </w:r>
    </w:p>
    <w:p>
      <w:pPr>
        <w:pStyle w:val="3"/>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一）缴交竞买保证金240万元人民币，如以外币缴交竞买保证金的，须缴交美元38万元或港币290万元</w:t>
      </w:r>
      <w:r>
        <w:rPr>
          <w:rFonts w:hint="eastAsia" w:ascii="仿宋_GB2312" w:hAnsi="仿宋_GB2312" w:eastAsia="仿宋_GB2312" w:cs="仿宋_GB2312"/>
          <w:szCs w:val="32"/>
          <w:highlight w:val="none"/>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1.存在伪造公文骗取用地和非法倒卖土地等犯罪行为的；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2.存在非法转让土地使用权等违法行为的；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3.因企业原因造成土地闲置一年以上且至报名日止未处罚完结的；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6.被列入问题楼盘开发企业黑名单的;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存在其它被禁止竞买土地行为的。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、本次国有建设用地使用权网上挂牌出让，按照价高者得的原则确定竞得人。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、申请人应当在网上挂牌出让结束前</w:t>
      </w:r>
      <w:r>
        <w:rPr>
          <w:rFonts w:hint="eastAsia" w:ascii="仿宋_GB2312" w:hAnsi="仿宋_GB2312" w:eastAsia="仿宋_GB2312" w:cs="仿宋_GB2312"/>
          <w:sz w:val="32"/>
          <w:szCs w:val="32"/>
          <w:highlight w:val="none"/>
          <w:lang w:val="en-US" w:eastAsia="zh-CN"/>
        </w:rPr>
        <w:t>登录</w:t>
      </w:r>
      <w:r>
        <w:rPr>
          <w:rFonts w:hint="eastAsia" w:ascii="仿宋_GB2312" w:hAnsi="仿宋_GB2312" w:eastAsia="仿宋_GB2312" w:cs="仿宋_GB2312"/>
          <w:sz w:val="32"/>
          <w:szCs w:val="32"/>
          <w:highlight w:val="none"/>
        </w:rPr>
        <w:t>惠州市公共资源交易中心土地与矿业网上挂牌交易系统并在系统上向惠州市公共资源交易中心提交竞买申请并支付保证金。网上挂牌保证金到账截止时间为2021年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日上午9时止。网上挂牌报价时间截止时，经系统询问，有竞买人表示愿意继续竞价的，系统自动进入网上限时竞价程序，通过竞价确定竞得人</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w:t>
      </w:r>
      <w:r>
        <w:rPr>
          <w:rFonts w:hint="eastAsia" w:ascii="仿宋_GB2312" w:hAnsi="仿宋_GB2312" w:eastAsia="仿宋_GB2312" w:cs="仿宋_GB2312"/>
          <w:sz w:val="32"/>
          <w:szCs w:val="32"/>
          <w:highlight w:val="none"/>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（一）开发投资总额不少于2480万元（含地价，不含地价溢价部分）。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（三）竞得人在用地红线内开发建设必须符合城市规划要求，必须按《建设用地规划设计条件》（案卷编号：PB20210058）规划控制指标要求及有关规定进行规划设计；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（四）竞得人须按《建设用地规划设计条件》（案卷编号：PB20210058）要求配建相关配套设施；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（五）土地成交价款须以人民币支付，竞得人须在签订《出让合同》之日起一个月内缴清土地成交价款。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（六）该宗地权利清晰，安置补偿落实到位，没有法律经济纠纷，具备动工开发所必须的基本条件。地上现状有钢结构机械式临时停车场，竞得人可继续使用或拆除重建。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sz w:val="32"/>
          <w:szCs w:val="32"/>
          <w:highlight w:val="none"/>
        </w:rPr>
        <w:t>惠州市江北三新南路7号</w:t>
      </w:r>
    </w:p>
    <w:p>
      <w:pPr>
        <w:spacing w:line="520" w:lineRule="exact"/>
        <w:ind w:right="64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联系人：王工</w:t>
      </w:r>
    </w:p>
    <w:p>
      <w:pPr>
        <w:spacing w:line="520" w:lineRule="exact"/>
        <w:ind w:right="64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联系电话：（0752）289631</w:t>
      </w:r>
      <w:r>
        <w:rPr>
          <w:rFonts w:hint="eastAsia" w:ascii="仿宋_GB2312" w:hAnsi="仿宋_GB2312" w:eastAsia="仿宋_GB2312" w:cs="仿宋_GB2312"/>
          <w:color w:val="auto"/>
          <w:kern w:val="2"/>
          <w:sz w:val="32"/>
          <w:szCs w:val="32"/>
          <w:highlight w:val="none"/>
          <w:lang w:val="en-US" w:eastAsia="zh-CN" w:bidi="ar-SA"/>
        </w:rPr>
        <w:t>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w:t>
      </w:r>
      <w:r>
        <w:rPr>
          <w:rFonts w:hint="eastAsia" w:ascii="仿宋_GB2312" w:hAnsi="仿宋_GB2312" w:eastAsia="仿宋_GB2312" w:cs="仿宋_GB2312"/>
          <w:sz w:val="32"/>
          <w:szCs w:val="32"/>
          <w:highlight w:val="none"/>
          <w:lang w:val="en-US" w:eastAsia="zh-CN"/>
        </w:rPr>
        <w:t>惠城区三新北路31号市民服务中心3号楼</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696969"/>
          <w:sz w:val="32"/>
          <w:szCs w:val="32"/>
          <w:highlight w:val="none"/>
        </w:rPr>
      </w:pPr>
      <w:r>
        <w:rPr>
          <w:rFonts w:hint="eastAsia" w:ascii="仿宋_GB2312" w:hAnsi="仿宋_GB2312" w:eastAsia="仿宋_GB2312" w:cs="仿宋_GB2312"/>
          <w:sz w:val="32"/>
          <w:szCs w:val="32"/>
          <w:highlight w:val="none"/>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2021年11月8日</w:t>
      </w: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附表</w:t>
      </w:r>
    </w:p>
    <w:p>
      <w:pPr>
        <w:tabs>
          <w:tab w:val="left" w:pos="9720"/>
        </w:tabs>
        <w:spacing w:line="360" w:lineRule="auto"/>
        <w:jc w:val="center"/>
        <w:rPr>
          <w:rFonts w:hint="default" w:ascii="Times New Roman" w:hAnsi="Times New Roman" w:eastAsia="方正小标宋_GBK" w:cs="Times New Roman"/>
          <w:b/>
          <w:sz w:val="36"/>
          <w:szCs w:val="36"/>
          <w:highlight w:val="none"/>
        </w:rPr>
      </w:pPr>
      <w:r>
        <w:rPr>
          <w:rFonts w:hint="default" w:ascii="Times New Roman" w:hAnsi="Times New Roman" w:eastAsia="方正小标宋_GBK" w:cs="Times New Roman"/>
          <w:b/>
          <w:sz w:val="36"/>
          <w:szCs w:val="36"/>
          <w:highlight w:val="none"/>
        </w:rPr>
        <w:t>网上挂牌出让地块规划建设指标</w:t>
      </w:r>
    </w:p>
    <w:tbl>
      <w:tblPr>
        <w:tblStyle w:val="9"/>
        <w:tblW w:w="10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8"/>
        <w:gridCol w:w="507"/>
        <w:gridCol w:w="543"/>
        <w:gridCol w:w="960"/>
        <w:gridCol w:w="960"/>
        <w:gridCol w:w="825"/>
        <w:gridCol w:w="1005"/>
        <w:gridCol w:w="720"/>
        <w:gridCol w:w="510"/>
        <w:gridCol w:w="765"/>
        <w:gridCol w:w="71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7"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738"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507"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eastAsia" w:ascii="Times New Roman" w:hAnsi="Times New Roman" w:eastAsia="仿宋_GB2312" w:cs="Times New Roman"/>
                <w:b/>
                <w:bCs/>
                <w:szCs w:val="21"/>
                <w:lang w:eastAsia="zh-CN"/>
              </w:rPr>
              <w:t>用地</w:t>
            </w:r>
            <w:r>
              <w:rPr>
                <w:rFonts w:hint="default" w:ascii="Times New Roman" w:hAnsi="Times New Roman" w:eastAsia="仿宋_GB2312" w:cs="Times New Roman"/>
                <w:b/>
                <w:bCs/>
                <w:szCs w:val="21"/>
              </w:rPr>
              <w:t>编号</w:t>
            </w:r>
          </w:p>
        </w:tc>
        <w:tc>
          <w:tcPr>
            <w:tcW w:w="54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6462" w:type="dxa"/>
            <w:gridSpan w:val="8"/>
            <w:vAlign w:val="center"/>
          </w:tcPr>
          <w:p>
            <w:pPr>
              <w:adjustRightInd w:val="0"/>
              <w:snapToGrid w:val="0"/>
              <w:spacing w:line="320" w:lineRule="exact"/>
              <w:ind w:left="-27" w:leftChars="-51" w:hanging="80" w:hangingChars="38"/>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c>
          <w:tcPr>
            <w:tcW w:w="948" w:type="dxa"/>
            <w:vMerge w:val="restart"/>
            <w:vAlign w:val="center"/>
          </w:tcPr>
          <w:p>
            <w:pPr>
              <w:adjustRightInd w:val="0"/>
              <w:snapToGrid w:val="0"/>
              <w:spacing w:line="320" w:lineRule="exact"/>
              <w:ind w:left="-27" w:leftChars="-51" w:hanging="80" w:hangingChars="38"/>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出让</w:t>
            </w:r>
          </w:p>
          <w:p>
            <w:pPr>
              <w:adjustRightInd w:val="0"/>
              <w:snapToGrid w:val="0"/>
              <w:spacing w:line="32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szCs w:val="21"/>
              </w:rPr>
              <w:t>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817"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73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507"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543"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960" w:type="dxa"/>
            <w:vAlign w:val="center"/>
          </w:tcPr>
          <w:p>
            <w:pPr>
              <w:spacing w:line="32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计算指标用地面积（㎡）</w:t>
            </w:r>
          </w:p>
        </w:tc>
        <w:tc>
          <w:tcPr>
            <w:tcW w:w="960"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宗地使用权面积（㎡）</w:t>
            </w:r>
          </w:p>
        </w:tc>
        <w:tc>
          <w:tcPr>
            <w:tcW w:w="825"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容积率</w:t>
            </w:r>
          </w:p>
        </w:tc>
        <w:tc>
          <w:tcPr>
            <w:tcW w:w="1005"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r>
              <w:rPr>
                <w:rFonts w:hint="default" w:ascii="Times New Roman" w:hAnsi="Times New Roman" w:cs="Times New Roman"/>
                <w:b/>
                <w:bCs/>
                <w:szCs w:val="21"/>
              </w:rPr>
              <w:t>㎡</w:t>
            </w:r>
            <w:r>
              <w:rPr>
                <w:rFonts w:hint="default" w:ascii="Times New Roman" w:hAnsi="Times New Roman" w:eastAsia="仿宋_GB2312" w:cs="Times New Roman"/>
                <w:b/>
                <w:bCs/>
                <w:szCs w:val="21"/>
              </w:rPr>
              <w:t>）</w:t>
            </w:r>
          </w:p>
        </w:tc>
        <w:tc>
          <w:tcPr>
            <w:tcW w:w="720"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lang w:val="en-US" w:eastAsia="zh-CN"/>
              </w:rPr>
            </w:pPr>
            <w:r>
              <w:rPr>
                <w:rFonts w:hint="eastAsia" w:eastAsia="仿宋_GB2312" w:cs="Times New Roman"/>
                <w:b/>
                <w:bCs/>
                <w:szCs w:val="21"/>
                <w:lang w:val="en-US" w:eastAsia="zh-CN"/>
              </w:rPr>
              <w:t>建筑密度（</w:t>
            </w:r>
            <w:r>
              <w:rPr>
                <w:rFonts w:hint="eastAsia" w:ascii="宋体" w:hAnsi="宋体" w:eastAsia="宋体" w:cs="宋体"/>
                <w:b/>
                <w:bCs/>
                <w:szCs w:val="21"/>
                <w:lang w:val="en-US" w:eastAsia="zh-CN"/>
              </w:rPr>
              <w:t>％</w:t>
            </w:r>
            <w:r>
              <w:rPr>
                <w:rFonts w:hint="eastAsia" w:eastAsia="仿宋_GB2312" w:cs="Times New Roman"/>
                <w:b/>
                <w:bCs/>
                <w:szCs w:val="21"/>
                <w:lang w:val="en-US" w:eastAsia="zh-CN"/>
              </w:rPr>
              <w:t>）</w:t>
            </w:r>
          </w:p>
        </w:tc>
        <w:tc>
          <w:tcPr>
            <w:tcW w:w="510"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适建性</w:t>
            </w:r>
          </w:p>
        </w:tc>
        <w:tc>
          <w:tcPr>
            <w:tcW w:w="765" w:type="dxa"/>
            <w:vAlign w:val="center"/>
          </w:tcPr>
          <w:p>
            <w:pPr>
              <w:adjustRightInd w:val="0"/>
              <w:snapToGrid w:val="0"/>
              <w:spacing w:line="320" w:lineRule="exact"/>
              <w:ind w:left="-27" w:leftChars="-51" w:hanging="80" w:hangingChars="38"/>
              <w:jc w:val="center"/>
              <w:rPr>
                <w:rFonts w:hint="default" w:ascii="Times New Roman" w:hAnsi="Times New Roman" w:eastAsia="仿宋_GB2312" w:cs="Times New Roman"/>
                <w:b/>
                <w:bCs/>
              </w:rPr>
            </w:pPr>
            <w:r>
              <w:rPr>
                <w:rFonts w:hint="eastAsia" w:eastAsia="仿宋_GB2312" w:cs="Times New Roman"/>
                <w:b/>
                <w:bCs/>
                <w:lang w:val="en-US" w:eastAsia="zh-CN"/>
              </w:rPr>
              <w:t xml:space="preserve"> </w:t>
            </w:r>
            <w:r>
              <w:rPr>
                <w:rFonts w:hint="default" w:ascii="Times New Roman" w:hAnsi="Times New Roman" w:eastAsia="仿宋_GB2312" w:cs="Times New Roman"/>
                <w:b/>
                <w:bCs/>
              </w:rPr>
              <w:t>机动车停车位（个）</w:t>
            </w:r>
          </w:p>
        </w:tc>
        <w:tc>
          <w:tcPr>
            <w:tcW w:w="717" w:type="dxa"/>
            <w:tcBorders>
              <w:top w:val="nil"/>
            </w:tcBorders>
            <w:vAlign w:val="center"/>
          </w:tcPr>
          <w:p>
            <w:pPr>
              <w:adjustRightInd w:val="0"/>
              <w:snapToGrid w:val="0"/>
              <w:spacing w:line="320" w:lineRule="exact"/>
              <w:jc w:val="center"/>
              <w:rPr>
                <w:rFonts w:hint="default" w:ascii="Times New Roman" w:hAnsi="Times New Roman" w:eastAsia="仿宋_GB2312" w:cs="Times New Roman"/>
                <w:b/>
                <w:bCs/>
                <w:szCs w:val="21"/>
                <w:lang w:val="en-US" w:eastAsia="zh-CN"/>
              </w:rPr>
            </w:pPr>
            <w:r>
              <w:rPr>
                <w:rFonts w:hint="eastAsia" w:eastAsia="仿宋_GB2312" w:cs="Times New Roman"/>
                <w:b/>
                <w:bCs/>
                <w:szCs w:val="21"/>
                <w:lang w:val="en-US" w:eastAsia="zh-CN"/>
              </w:rPr>
              <w:t>建筑限高（m）</w:t>
            </w:r>
          </w:p>
        </w:tc>
        <w:tc>
          <w:tcPr>
            <w:tcW w:w="94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0" w:hRule="atLeast"/>
          <w:jc w:val="center"/>
        </w:trPr>
        <w:tc>
          <w:tcPr>
            <w:tcW w:w="817" w:type="dxa"/>
            <w:tcMar>
              <w:left w:w="0" w:type="dxa"/>
              <w:right w:w="0" w:type="dxa"/>
            </w:tcMar>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GP2021-48</w:t>
            </w:r>
            <w:bookmarkStart w:id="0" w:name="_GoBack"/>
            <w:bookmarkEnd w:id="0"/>
            <w:r>
              <w:rPr>
                <w:rFonts w:hint="eastAsia" w:ascii="仿宋_GB2312" w:hAnsi="仿宋_GB2312" w:eastAsia="仿宋_GB2312" w:cs="仿宋_GB2312"/>
                <w:color w:val="000000"/>
                <w:szCs w:val="21"/>
                <w:lang w:val="en-US" w:eastAsia="zh-CN" w:bidi="ar-SA"/>
              </w:rPr>
              <w:t xml:space="preserve">  </w:t>
            </w:r>
          </w:p>
        </w:tc>
        <w:tc>
          <w:tcPr>
            <w:tcW w:w="738"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惠州市惠城区江北片区JB26-1-1-1地块</w:t>
            </w:r>
          </w:p>
        </w:tc>
        <w:tc>
          <w:tcPr>
            <w:tcW w:w="507"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JB26-1-1-1</w:t>
            </w:r>
          </w:p>
        </w:tc>
        <w:tc>
          <w:tcPr>
            <w:tcW w:w="543" w:type="dxa"/>
            <w:tcMar>
              <w:left w:w="0" w:type="dxa"/>
              <w:right w:w="0" w:type="dxa"/>
            </w:tcMar>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交通服务场站用地</w:t>
            </w:r>
          </w:p>
        </w:tc>
        <w:tc>
          <w:tcPr>
            <w:tcW w:w="960"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2150.72</w:t>
            </w:r>
          </w:p>
        </w:tc>
        <w:tc>
          <w:tcPr>
            <w:tcW w:w="960"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1472.07</w:t>
            </w:r>
          </w:p>
        </w:tc>
        <w:tc>
          <w:tcPr>
            <w:tcW w:w="825"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≤2.5</w:t>
            </w:r>
          </w:p>
        </w:tc>
        <w:tc>
          <w:tcPr>
            <w:tcW w:w="1005"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lang w:val="en-US" w:eastAsia="zh-CN" w:bidi="ar-SA"/>
              </w:rPr>
              <w:t>≤5377</w:t>
            </w:r>
          </w:p>
        </w:tc>
        <w:tc>
          <w:tcPr>
            <w:tcW w:w="720" w:type="dxa"/>
            <w:vAlign w:val="center"/>
          </w:tcPr>
          <w:p>
            <w:pPr>
              <w:jc w:val="center"/>
              <w:rPr>
                <w:rFonts w:hint="eastAsia" w:ascii="仿宋_GB2312" w:hAnsi="仿宋_GB2312" w:eastAsia="仿宋_GB2312" w:cs="仿宋_GB2312"/>
                <w:color w:val="000000"/>
                <w:szCs w:val="21"/>
                <w:lang w:val="en-US" w:eastAsia="zh-CN" w:bidi="ar-SA"/>
              </w:rPr>
            </w:pPr>
            <w:r>
              <w:rPr>
                <w:rFonts w:hint="eastAsia" w:ascii="仿宋_GB2312" w:hAnsi="仿宋_GB2312" w:eastAsia="仿宋_GB2312" w:cs="仿宋_GB2312"/>
                <w:color w:val="000000"/>
                <w:szCs w:val="21"/>
                <w:highlight w:val="none"/>
                <w:lang w:val="en-US" w:eastAsia="zh-CN" w:bidi="ar-SA"/>
              </w:rPr>
              <w:t>≤4</w:t>
            </w:r>
            <w:r>
              <w:rPr>
                <w:rFonts w:hint="eastAsia" w:ascii="仿宋_GB2312" w:hAnsi="仿宋_GB2312" w:eastAsia="仿宋_GB2312" w:cs="仿宋_GB2312"/>
                <w:color w:val="000000"/>
                <w:szCs w:val="21"/>
                <w:lang w:val="en-US" w:eastAsia="zh-CN" w:bidi="ar-SA"/>
              </w:rPr>
              <w:t>5</w:t>
            </w:r>
          </w:p>
        </w:tc>
        <w:tc>
          <w:tcPr>
            <w:tcW w:w="510" w:type="dxa"/>
            <w:vAlign w:val="center"/>
          </w:tcPr>
          <w:p>
            <w:pPr>
              <w:jc w:val="center"/>
              <w:rPr>
                <w:rFonts w:hint="eastAsia" w:ascii="仿宋_GB2312" w:hAnsi="仿宋_GB2312" w:eastAsia="仿宋_GB2312" w:cs="仿宋_GB2312"/>
                <w:color w:val="000000"/>
                <w:szCs w:val="21"/>
                <w:highlight w:val="yellow"/>
                <w:lang w:val="en-US" w:eastAsia="zh-CN" w:bidi="ar-SA"/>
              </w:rPr>
            </w:pPr>
            <w:r>
              <w:rPr>
                <w:rFonts w:hint="eastAsia" w:ascii="仿宋_GB2312" w:hAnsi="仿宋_GB2312" w:eastAsia="仿宋_GB2312" w:cs="仿宋_GB2312"/>
                <w:color w:val="000000"/>
                <w:szCs w:val="21"/>
                <w:highlight w:val="none"/>
                <w:lang w:val="en-US" w:eastAsia="zh-CN" w:bidi="ar-SA"/>
              </w:rPr>
              <w:t>停车库及配套设施</w:t>
            </w:r>
          </w:p>
        </w:tc>
        <w:tc>
          <w:tcPr>
            <w:tcW w:w="765" w:type="dxa"/>
            <w:vAlign w:val="center"/>
          </w:tcPr>
          <w:p>
            <w:pPr>
              <w:jc w:val="center"/>
              <w:rPr>
                <w:rFonts w:hint="eastAsia" w:ascii="仿宋_GB2312" w:hAnsi="仿宋_GB2312" w:eastAsia="仿宋_GB2312" w:cs="仿宋_GB2312"/>
                <w:color w:val="000000"/>
                <w:szCs w:val="21"/>
                <w:highlight w:val="yellow"/>
                <w:lang w:val="en-US" w:eastAsia="zh-CN" w:bidi="ar-SA"/>
              </w:rPr>
            </w:pPr>
            <w:r>
              <w:rPr>
                <w:rFonts w:hint="eastAsia" w:ascii="仿宋_GB2312" w:hAnsi="仿宋_GB2312" w:eastAsia="仿宋_GB2312" w:cs="仿宋_GB2312"/>
                <w:color w:val="000000"/>
                <w:szCs w:val="21"/>
                <w:highlight w:val="none"/>
                <w:lang w:val="en-US" w:eastAsia="zh-CN" w:bidi="ar-SA"/>
              </w:rPr>
              <w:t>地上机械式立体停车位≥168</w:t>
            </w:r>
          </w:p>
        </w:tc>
        <w:tc>
          <w:tcPr>
            <w:tcW w:w="717" w:type="dxa"/>
            <w:vAlign w:val="center"/>
          </w:tcPr>
          <w:p>
            <w:pPr>
              <w:jc w:val="center"/>
              <w:rPr>
                <w:rFonts w:hint="eastAsia" w:ascii="仿宋_GB2312" w:hAnsi="仿宋_GB2312" w:eastAsia="仿宋_GB2312" w:cs="仿宋_GB2312"/>
                <w:color w:val="000000"/>
                <w:szCs w:val="21"/>
                <w:highlight w:val="none"/>
                <w:lang w:val="en-US" w:eastAsia="zh-CN" w:bidi="ar-SA"/>
              </w:rPr>
            </w:pPr>
            <w:r>
              <w:rPr>
                <w:rFonts w:hint="eastAsia" w:ascii="仿宋_GB2312" w:hAnsi="仿宋_GB2312" w:eastAsia="仿宋_GB2312" w:cs="仿宋_GB2312"/>
                <w:color w:val="000000"/>
                <w:szCs w:val="21"/>
                <w:highlight w:val="none"/>
                <w:lang w:val="en-US" w:eastAsia="zh-CN" w:bidi="ar-SA"/>
              </w:rPr>
              <w:t>≤24</w:t>
            </w:r>
          </w:p>
        </w:tc>
        <w:tc>
          <w:tcPr>
            <w:tcW w:w="948" w:type="dxa"/>
            <w:vAlign w:val="center"/>
          </w:tcPr>
          <w:p>
            <w:pPr>
              <w:jc w:val="center"/>
              <w:rPr>
                <w:rFonts w:hint="eastAsia" w:ascii="仿宋_GB2312" w:hAnsi="仿宋_GB2312" w:eastAsia="仿宋_GB2312" w:cs="仿宋_GB2312"/>
                <w:color w:val="000000"/>
                <w:szCs w:val="21"/>
                <w:highlight w:val="yellow"/>
                <w:lang w:val="en-US" w:eastAsia="zh-CN" w:bidi="ar-SA"/>
              </w:rPr>
            </w:pPr>
            <w:r>
              <w:rPr>
                <w:rFonts w:hint="eastAsia" w:ascii="仿宋_GB2312" w:hAnsi="仿宋_GB2312" w:eastAsia="仿宋_GB2312" w:cs="仿宋_GB2312"/>
                <w:color w:val="000000"/>
                <w:szCs w:val="21"/>
                <w:highlight w:val="none"/>
                <w:lang w:val="en-US" w:eastAsia="zh-CN" w:bidi="ar-SA"/>
              </w:rPr>
              <w:t>交通服务场站用地50年</w:t>
            </w:r>
          </w:p>
        </w:tc>
      </w:tr>
    </w:tbl>
    <w:p>
      <w:pPr>
        <w:tabs>
          <w:tab w:val="left" w:pos="11340"/>
        </w:tabs>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cs="Times New Roman"/>
          <w:highlight w:val="none"/>
        </w:rPr>
      </w:pPr>
    </w:p>
    <w:p>
      <w:pPr>
        <w:spacing w:line="360" w:lineRule="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061"/>
    <w:rsid w:val="015539EC"/>
    <w:rsid w:val="03036C7C"/>
    <w:rsid w:val="03043D1C"/>
    <w:rsid w:val="045C3FD8"/>
    <w:rsid w:val="046368B3"/>
    <w:rsid w:val="047C6F5A"/>
    <w:rsid w:val="04A705FC"/>
    <w:rsid w:val="05804BFF"/>
    <w:rsid w:val="069C76D6"/>
    <w:rsid w:val="07386886"/>
    <w:rsid w:val="07895069"/>
    <w:rsid w:val="07BE59A8"/>
    <w:rsid w:val="082B1937"/>
    <w:rsid w:val="09B41FDD"/>
    <w:rsid w:val="09EF4B5F"/>
    <w:rsid w:val="0B406DC0"/>
    <w:rsid w:val="0B78752F"/>
    <w:rsid w:val="0B7A084A"/>
    <w:rsid w:val="0D167AC3"/>
    <w:rsid w:val="0D430223"/>
    <w:rsid w:val="0DF23899"/>
    <w:rsid w:val="0E177AE2"/>
    <w:rsid w:val="0E5C0367"/>
    <w:rsid w:val="0E7A65F6"/>
    <w:rsid w:val="101D3BC2"/>
    <w:rsid w:val="10BD4DFA"/>
    <w:rsid w:val="137618AF"/>
    <w:rsid w:val="13D50F1B"/>
    <w:rsid w:val="161D2710"/>
    <w:rsid w:val="167673A1"/>
    <w:rsid w:val="16AA6FD1"/>
    <w:rsid w:val="16D56AAC"/>
    <w:rsid w:val="172121EB"/>
    <w:rsid w:val="17AA0480"/>
    <w:rsid w:val="17D36568"/>
    <w:rsid w:val="17F82A54"/>
    <w:rsid w:val="184078AE"/>
    <w:rsid w:val="188401D1"/>
    <w:rsid w:val="188D227F"/>
    <w:rsid w:val="192F711A"/>
    <w:rsid w:val="1A0B2C56"/>
    <w:rsid w:val="1AA5305E"/>
    <w:rsid w:val="1ADB0E54"/>
    <w:rsid w:val="1C5904D7"/>
    <w:rsid w:val="1D7069CD"/>
    <w:rsid w:val="1DE30B94"/>
    <w:rsid w:val="1E862B6D"/>
    <w:rsid w:val="1F7C2358"/>
    <w:rsid w:val="1FB07F91"/>
    <w:rsid w:val="20ED2229"/>
    <w:rsid w:val="217817B2"/>
    <w:rsid w:val="22890C8D"/>
    <w:rsid w:val="23A027B1"/>
    <w:rsid w:val="25251515"/>
    <w:rsid w:val="256223DC"/>
    <w:rsid w:val="25E0579E"/>
    <w:rsid w:val="27A65DB8"/>
    <w:rsid w:val="28774868"/>
    <w:rsid w:val="28C60AA0"/>
    <w:rsid w:val="2A4E22AF"/>
    <w:rsid w:val="2A6B42FA"/>
    <w:rsid w:val="2A870225"/>
    <w:rsid w:val="2B5D4967"/>
    <w:rsid w:val="2CD66967"/>
    <w:rsid w:val="2E603540"/>
    <w:rsid w:val="2F020615"/>
    <w:rsid w:val="304C7078"/>
    <w:rsid w:val="31CE6D72"/>
    <w:rsid w:val="33861F14"/>
    <w:rsid w:val="33DD4339"/>
    <w:rsid w:val="35335FA2"/>
    <w:rsid w:val="36061489"/>
    <w:rsid w:val="36885460"/>
    <w:rsid w:val="372361B7"/>
    <w:rsid w:val="37607760"/>
    <w:rsid w:val="380440B7"/>
    <w:rsid w:val="381E07C6"/>
    <w:rsid w:val="38387384"/>
    <w:rsid w:val="38BD14D1"/>
    <w:rsid w:val="3A3D56A4"/>
    <w:rsid w:val="3BF51A3C"/>
    <w:rsid w:val="3C13026D"/>
    <w:rsid w:val="3C8078D7"/>
    <w:rsid w:val="3DDC60B5"/>
    <w:rsid w:val="40231E47"/>
    <w:rsid w:val="40363F40"/>
    <w:rsid w:val="409256E4"/>
    <w:rsid w:val="409E7D83"/>
    <w:rsid w:val="40B33D72"/>
    <w:rsid w:val="411B39E1"/>
    <w:rsid w:val="414E681A"/>
    <w:rsid w:val="428A6E62"/>
    <w:rsid w:val="42CE6157"/>
    <w:rsid w:val="4333178A"/>
    <w:rsid w:val="43706132"/>
    <w:rsid w:val="44966F93"/>
    <w:rsid w:val="45C047BF"/>
    <w:rsid w:val="45EA0593"/>
    <w:rsid w:val="46FD730B"/>
    <w:rsid w:val="47AF3E70"/>
    <w:rsid w:val="49756696"/>
    <w:rsid w:val="4A1228DB"/>
    <w:rsid w:val="4A1B1ECC"/>
    <w:rsid w:val="4AE74DD0"/>
    <w:rsid w:val="4C2E14D5"/>
    <w:rsid w:val="4D1610A1"/>
    <w:rsid w:val="4DF35994"/>
    <w:rsid w:val="4EC91786"/>
    <w:rsid w:val="4F861E18"/>
    <w:rsid w:val="512A0AC6"/>
    <w:rsid w:val="538C505C"/>
    <w:rsid w:val="540106D5"/>
    <w:rsid w:val="546946EF"/>
    <w:rsid w:val="565101CA"/>
    <w:rsid w:val="567F481B"/>
    <w:rsid w:val="5759685A"/>
    <w:rsid w:val="578E459E"/>
    <w:rsid w:val="57A3234F"/>
    <w:rsid w:val="57C844D5"/>
    <w:rsid w:val="57EA41E9"/>
    <w:rsid w:val="594D206E"/>
    <w:rsid w:val="596A13D8"/>
    <w:rsid w:val="5A893EB0"/>
    <w:rsid w:val="5AF873B7"/>
    <w:rsid w:val="5B573312"/>
    <w:rsid w:val="5D241B5A"/>
    <w:rsid w:val="5D471E01"/>
    <w:rsid w:val="5E3B0440"/>
    <w:rsid w:val="606821F3"/>
    <w:rsid w:val="60AD2817"/>
    <w:rsid w:val="623F28DB"/>
    <w:rsid w:val="63AA2C72"/>
    <w:rsid w:val="64D925C4"/>
    <w:rsid w:val="64E467ED"/>
    <w:rsid w:val="65651799"/>
    <w:rsid w:val="65C33722"/>
    <w:rsid w:val="68527CA2"/>
    <w:rsid w:val="692A6240"/>
    <w:rsid w:val="6B6E278B"/>
    <w:rsid w:val="6BE509C5"/>
    <w:rsid w:val="6C72571A"/>
    <w:rsid w:val="6DB61045"/>
    <w:rsid w:val="6E0C0E77"/>
    <w:rsid w:val="6EB83079"/>
    <w:rsid w:val="6EC11C99"/>
    <w:rsid w:val="6ED476F5"/>
    <w:rsid w:val="6F3F769A"/>
    <w:rsid w:val="6F4B3B48"/>
    <w:rsid w:val="6FF0551C"/>
    <w:rsid w:val="700A52E4"/>
    <w:rsid w:val="700B25B1"/>
    <w:rsid w:val="710659AD"/>
    <w:rsid w:val="727D44B4"/>
    <w:rsid w:val="728D40FC"/>
    <w:rsid w:val="7291218D"/>
    <w:rsid w:val="736D1677"/>
    <w:rsid w:val="73BE7EBD"/>
    <w:rsid w:val="73F22758"/>
    <w:rsid w:val="748840AA"/>
    <w:rsid w:val="761352C3"/>
    <w:rsid w:val="765425FB"/>
    <w:rsid w:val="77DD303C"/>
    <w:rsid w:val="782A0826"/>
    <w:rsid w:val="786A2515"/>
    <w:rsid w:val="787C1591"/>
    <w:rsid w:val="79E82C45"/>
    <w:rsid w:val="7AD36021"/>
    <w:rsid w:val="7B832F79"/>
    <w:rsid w:val="7B9966F1"/>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2021-11-08T06:51:37Z</cp:lastPrinted>
  <dcterms:modified xsi:type="dcterms:W3CDTF">2021-11-08T06:52:37Z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