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color w:val="000000" w:themeColor="text1"/>
          <w:spacing w:val="3"/>
          <w:sz w:val="44"/>
          <w:szCs w:val="44"/>
          <w14:textFill>
            <w14:solidFill>
              <w14:schemeClr w14:val="tx1"/>
            </w14:solidFill>
          </w14:textFill>
        </w:rPr>
      </w:pPr>
    </w:p>
    <w:p>
      <w:pPr>
        <w:tabs>
          <w:tab w:val="left" w:pos="11340"/>
        </w:tabs>
        <w:spacing w:line="520" w:lineRule="exact"/>
        <w:rPr>
          <w:rFonts w:hint="eastAsia" w:ascii="方正小标宋_GBK" w:hAnsi="华文中宋" w:eastAsia="方正小标宋_GBK"/>
          <w:b/>
          <w:bCs/>
          <w:color w:val="000000" w:themeColor="text1"/>
          <w:spacing w:val="3"/>
          <w:sz w:val="44"/>
          <w:szCs w:val="44"/>
          <w14:textFill>
            <w14:solidFill>
              <w14:schemeClr w14:val="tx1"/>
            </w14:solidFill>
          </w14:textFill>
        </w:rPr>
      </w:pPr>
    </w:p>
    <w:p>
      <w:pPr>
        <w:tabs>
          <w:tab w:val="left" w:pos="11340"/>
        </w:tabs>
        <w:spacing w:line="520" w:lineRule="exact"/>
        <w:rPr>
          <w:rFonts w:hint="eastAsia" w:ascii="方正小标宋_GBK" w:hAnsi="华文中宋" w:eastAsia="方正小标宋_GBK"/>
          <w:b/>
          <w:bCs/>
          <w:color w:val="000000" w:themeColor="text1"/>
          <w:spacing w:val="3"/>
          <w:sz w:val="44"/>
          <w:szCs w:val="44"/>
          <w14:textFill>
            <w14:solidFill>
              <w14:schemeClr w14:val="tx1"/>
            </w14:solidFill>
          </w14:textFill>
        </w:rPr>
      </w:pPr>
    </w:p>
    <w:p>
      <w:pPr>
        <w:tabs>
          <w:tab w:val="left" w:pos="11340"/>
        </w:tabs>
        <w:spacing w:line="520" w:lineRule="exact"/>
        <w:outlineLvl w:val="0"/>
        <w:rPr>
          <w:rFonts w:hint="eastAsia" w:ascii="方正小标宋_GBK" w:eastAsia="方正小标宋_GBK"/>
          <w:b/>
          <w:bCs/>
          <w:color w:val="000000" w:themeColor="text1"/>
          <w:spacing w:val="3"/>
          <w:sz w:val="48"/>
          <w14:textFill>
            <w14:solidFill>
              <w14:schemeClr w14:val="tx1"/>
            </w14:solidFill>
          </w14:textFill>
        </w:rPr>
      </w:pPr>
      <w:r>
        <w:rPr>
          <w:rFonts w:hint="eastAsia" w:ascii="方正小标宋_GBK" w:hAnsi="华文中宋" w:eastAsia="方正小标宋_GBK"/>
          <w:b/>
          <w:bCs/>
          <w:color w:val="000000" w:themeColor="text1"/>
          <w:spacing w:val="3"/>
          <w:sz w:val="44"/>
          <w:szCs w:val="44"/>
          <w14:textFill>
            <w14:solidFill>
              <w14:schemeClr w14:val="tx1"/>
            </w14:solidFill>
          </w14:textFill>
        </w:rPr>
        <w:t>惠州市国有建设用地使用权网上挂牌</w:t>
      </w:r>
      <w:r>
        <w:rPr>
          <w:rFonts w:hint="eastAsia" w:ascii="方正小标宋_GBK" w:hAnsi="华文中宋" w:eastAsia="方正小标宋_GBK"/>
          <w:b/>
          <w:bCs/>
          <w:color w:val="000000" w:themeColor="text1"/>
          <w:sz w:val="44"/>
          <w:szCs w:val="44"/>
          <w14:textFill>
            <w14:solidFill>
              <w14:schemeClr w14:val="tx1"/>
            </w14:solidFill>
          </w14:textFill>
        </w:rPr>
        <w:t>出让公告</w:t>
      </w:r>
    </w:p>
    <w:p>
      <w:pPr>
        <w:spacing w:line="520" w:lineRule="exact"/>
        <w:ind w:firstLine="640" w:firstLineChars="200"/>
        <w:jc w:val="center"/>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惠公易土市直[20</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014</w:t>
      </w:r>
      <w:r>
        <w:rPr>
          <w:rFonts w:hint="eastAsia" w:ascii="仿宋_GB2312" w:eastAsia="仿宋_GB2312"/>
          <w:color w:val="000000" w:themeColor="text1"/>
          <w:sz w:val="32"/>
          <w:szCs w:val="32"/>
          <w14:textFill>
            <w14:solidFill>
              <w14:schemeClr w14:val="tx1"/>
            </w14:solidFill>
          </w14:textFill>
        </w:rPr>
        <w:t>号</w:t>
      </w:r>
    </w:p>
    <w:p>
      <w:pPr>
        <w:spacing w:line="520" w:lineRule="exact"/>
        <w:ind w:firstLine="640" w:firstLineChars="20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惠城区</w:t>
      </w:r>
      <w:r>
        <w:rPr>
          <w:rFonts w:hint="eastAsia" w:ascii="仿宋_GB2312" w:hAnsi="仿宋_GB2312" w:eastAsia="仿宋_GB2312" w:cs="仿宋_GB2312"/>
          <w:color w:val="000000" w:themeColor="text1"/>
          <w:sz w:val="32"/>
          <w:szCs w:val="32"/>
          <w14:textFill>
            <w14:solidFill>
              <w14:schemeClr w14:val="tx1"/>
            </w14:solidFill>
          </w14:textFill>
        </w:rPr>
        <w:t>人民政府批准，惠州市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惠城区</w:t>
      </w:r>
      <w:r>
        <w:rPr>
          <w:rFonts w:hint="eastAsia" w:ascii="仿宋_GB2312" w:hAnsi="仿宋_GB2312" w:eastAsia="仿宋_GB2312" w:cs="仿宋_GB2312"/>
          <w:color w:val="000000" w:themeColor="text1"/>
          <w:sz w:val="32"/>
          <w:szCs w:val="32"/>
          <w14:textFill>
            <w14:solidFill>
              <w14:schemeClr w14:val="tx1"/>
            </w14:solidFill>
          </w14:textFill>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二、网上挂牌竞买时间为20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时至20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三、挂牌起始价为人民币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10510</w:t>
      </w:r>
      <w:r>
        <w:rPr>
          <w:rFonts w:hint="eastAsia" w:ascii="仿宋_GB2312" w:hAnsi="仿宋_GB2312" w:eastAsia="仿宋_GB2312" w:cs="仿宋_GB2312"/>
          <w:color w:val="000000" w:themeColor="text1"/>
          <w:sz w:val="32"/>
          <w:szCs w:val="32"/>
          <w14:textFill>
            <w14:solidFill>
              <w14:schemeClr w14:val="tx1"/>
            </w14:solidFill>
          </w14:textFill>
        </w:rPr>
        <w:t>万元,每次报价加价幅度为人民币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color w:val="000000" w:themeColor="text1"/>
          <w:lang w:val="en-US" w:eastAsia="zh-CN"/>
          <w14:textFill>
            <w14:solidFill>
              <w14:schemeClr w14:val="tx1"/>
            </w14:solidFill>
          </w14:textFill>
        </w:rPr>
        <w:t>（即竞得人必须是新公司的唯一股东）</w:t>
      </w:r>
      <w:r>
        <w:rPr>
          <w:rFonts w:hint="default" w:ascii="Times New Roman" w:hAnsi="Times New Roman"/>
          <w:color w:val="000000" w:themeColor="text1"/>
          <w:lang w:val="en-US" w:eastAsia="zh-CN"/>
          <w14:textFill>
            <w14:solidFill>
              <w14:schemeClr w14:val="tx1"/>
            </w14:solidFill>
          </w14:textFill>
        </w:rPr>
        <w:t>。</w:t>
      </w:r>
      <w:r>
        <w:rPr>
          <w:rFonts w:hint="eastAsia" w:hAnsi="仿宋_GB2312" w:cs="仿宋_GB2312"/>
          <w:color w:val="000000" w:themeColor="text1"/>
          <w:szCs w:val="32"/>
          <w14:textFill>
            <w14:solidFill>
              <w14:schemeClr w14:val="tx1"/>
            </w14:solidFill>
          </w14:textFill>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五</w:t>
      </w:r>
      <w:r>
        <w:rPr>
          <w:rFonts w:hint="eastAsia" w:hAnsi="仿宋_GB2312" w:cs="仿宋_GB2312"/>
          <w:color w:val="000000" w:themeColor="text1"/>
          <w:szCs w:val="32"/>
          <w14:textFill>
            <w14:solidFill>
              <w14:schemeClr w14:val="tx1"/>
            </w14:solidFill>
          </w14:textFill>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（一）竞买人缴交的竞买保证金为人民币</w:t>
      </w:r>
      <w:r>
        <w:rPr>
          <w:rFonts w:hint="eastAsia" w:hAnsi="仿宋_GB2312" w:cs="仿宋_GB2312"/>
          <w:color w:val="000000" w:themeColor="text1"/>
          <w:szCs w:val="32"/>
          <w:lang w:val="en-US" w:eastAsia="zh-CN"/>
          <w14:textFill>
            <w14:solidFill>
              <w14:schemeClr w14:val="tx1"/>
            </w14:solidFill>
          </w14:textFill>
        </w:rPr>
        <w:t>3153</w:t>
      </w:r>
      <w:r>
        <w:rPr>
          <w:rFonts w:hint="eastAsia" w:hAnsi="仿宋_GB2312" w:cs="仿宋_GB2312"/>
          <w:color w:val="000000" w:themeColor="text1"/>
          <w:szCs w:val="32"/>
          <w14:textFill>
            <w14:solidFill>
              <w14:schemeClr w14:val="tx1"/>
            </w14:solidFill>
          </w14:textFill>
        </w:rPr>
        <w:t>万元。</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（二）存在下列违法违规违约行为之一的企业及其控股股东，不得参与竞买上述地块：</w:t>
      </w:r>
    </w:p>
    <w:p>
      <w:pPr>
        <w:pStyle w:val="3"/>
        <w:keepNext w:val="0"/>
        <w:keepLines w:val="0"/>
        <w:pageBreakBefore w:val="0"/>
        <w:widowControl w:val="0"/>
        <w:numPr>
          <w:ilvl w:val="0"/>
          <w:numId w:val="1"/>
        </w:numPr>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存在伪造公文骗取用地和非法倒卖土地等犯罪行为的；</w:t>
      </w:r>
    </w:p>
    <w:p>
      <w:pPr>
        <w:pStyle w:val="3"/>
        <w:keepNext w:val="0"/>
        <w:keepLines w:val="0"/>
        <w:pageBreakBefore w:val="0"/>
        <w:widowControl w:val="0"/>
        <w:numPr>
          <w:ilvl w:val="0"/>
          <w:numId w:val="1"/>
        </w:numPr>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存在非法转让土地使用权等违法行为的；</w:t>
      </w:r>
    </w:p>
    <w:p>
      <w:pPr>
        <w:pStyle w:val="3"/>
        <w:keepNext w:val="0"/>
        <w:keepLines w:val="0"/>
        <w:pageBreakBefore w:val="0"/>
        <w:widowControl w:val="0"/>
        <w:numPr>
          <w:ilvl w:val="0"/>
          <w:numId w:val="1"/>
        </w:numPr>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5、至报名日止仍拖欠政府地价款的。</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000000" w:themeColor="text1"/>
          <w:szCs w:val="32"/>
          <w:lang w:val="en-US" w:eastAsia="zh-CN"/>
          <w14:textFill>
            <w14:solidFill>
              <w14:schemeClr w14:val="tx1"/>
            </w14:solidFill>
          </w14:textFill>
        </w:rPr>
      </w:pPr>
      <w:r>
        <w:rPr>
          <w:rFonts w:hint="eastAsia" w:hAnsi="仿宋_GB2312" w:cs="仿宋_GB2312"/>
          <w:color w:val="000000" w:themeColor="text1"/>
          <w:szCs w:val="32"/>
          <w:lang w:val="en-US" w:eastAsia="zh-CN"/>
          <w14:textFill>
            <w14:solidFill>
              <w14:schemeClr w14:val="tx1"/>
            </w14:solidFill>
          </w14:textFill>
        </w:rPr>
        <w:t>六、本次国有建设用地使用权网上挂牌出让为无底价挂牌出让，按照价高者得的原则确定竞得人。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、本次网上挂牌出让的详细资料和具体要求，见惠州市公共资源交易中心土地与矿业网上挂牌交易系统（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https://www.hzgtjy.com/</w:t>
      </w:r>
      <w:r>
        <w:rPr>
          <w:rFonts w:hint="eastAsia" w:ascii="仿宋_GB2312" w:hAnsi="仿宋_GB2312" w:eastAsia="仿宋_GB2312" w:cs="仿宋_GB2312"/>
          <w:color w:val="000000" w:themeColor="text1"/>
          <w:sz w:val="32"/>
          <w:szCs w:val="32"/>
          <w14:textFill>
            <w14:solidFill>
              <w14:schemeClr w14:val="tx1"/>
            </w14:solidFill>
          </w14:textFill>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、申请人应当在网上挂牌出让结束前登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录</w:t>
      </w:r>
      <w:r>
        <w:rPr>
          <w:rFonts w:hint="eastAsia" w:ascii="仿宋_GB2312" w:hAnsi="仿宋_GB2312" w:eastAsia="仿宋_GB2312" w:cs="仿宋_GB2312"/>
          <w:color w:val="000000" w:themeColor="text1"/>
          <w:sz w:val="32"/>
          <w:szCs w:val="32"/>
          <w14:textFill>
            <w14:solidFill>
              <w14:schemeClr w14:val="tx1"/>
            </w14:solidFill>
          </w14:textFill>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、网上挂牌系统确定成交后，竞得人缴纳的竞买保证金按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成交价的20%转作</w:t>
      </w:r>
      <w:r>
        <w:rPr>
          <w:rFonts w:hint="eastAsia" w:ascii="仿宋_GB2312" w:hAnsi="仿宋_GB2312" w:eastAsia="仿宋_GB2312" w:cs="仿宋_GB2312"/>
          <w:color w:val="000000" w:themeColor="text1"/>
          <w:sz w:val="32"/>
          <w:szCs w:val="32"/>
          <w14:textFill>
            <w14:solidFill>
              <w14:schemeClr w14:val="tx1"/>
            </w14:solidFill>
          </w14:textFill>
        </w:rPr>
        <w:t>定金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w:t>
      </w:r>
      <w:r>
        <w:rPr>
          <w:rFonts w:hint="eastAsia" w:ascii="仿宋_GB2312" w:hAnsi="仿宋_GB2312" w:eastAsia="仿宋_GB2312" w:cs="仿宋_GB2312"/>
          <w:color w:val="000000" w:themeColor="text1"/>
          <w:sz w:val="32"/>
          <w:szCs w:val="32"/>
          <w:lang w:eastAsia="zh-CN"/>
          <w14:textFill>
            <w14:solidFill>
              <w14:schemeClr w14:val="tx1"/>
            </w14:solidFill>
          </w14:textFill>
        </w:rPr>
        <w:t>竞买保证金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不足以缴纳定金，</w:t>
      </w:r>
      <w:r>
        <w:rPr>
          <w:rFonts w:hint="eastAsia" w:ascii="仿宋_GB2312" w:hAnsi="仿宋_GB2312" w:eastAsia="仿宋_GB2312" w:cs="仿宋_GB2312"/>
          <w:color w:val="000000" w:themeColor="text1"/>
          <w:sz w:val="32"/>
          <w:szCs w:val="32"/>
          <w14:textFill>
            <w14:solidFill>
              <w14:schemeClr w14:val="tx1"/>
            </w14:solidFill>
          </w14:textFill>
        </w:rPr>
        <w:t>不足部分在交易系统确定成交之日起5个工作日内补齐</w:t>
      </w:r>
      <w:r>
        <w:rPr>
          <w:rFonts w:hint="eastAsia" w:ascii="仿宋_GB2312" w:hAnsi="仿宋_GB2312" w:eastAsia="仿宋_GB2312" w:cs="仿宋_GB2312"/>
          <w:color w:val="000000" w:themeColor="text1"/>
          <w:sz w:val="32"/>
          <w:szCs w:val="32"/>
          <w:lang w:eastAsia="zh-CN"/>
          <w14:textFill>
            <w14:solidFill>
              <w14:schemeClr w14:val="tx1"/>
            </w14:solidFill>
          </w14:textFill>
        </w:rPr>
        <w:t>；如竞买保证金转作定金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后有剩余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余额抵作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w:t>
      </w:r>
      <w:r>
        <w:rPr>
          <w:rFonts w:hint="eastAsia" w:ascii="仿宋_GB2312" w:hAnsi="仿宋_GB2312" w:eastAsia="仿宋_GB2312" w:cs="仿宋_GB2312"/>
          <w:color w:val="000000" w:themeColor="text1"/>
          <w:sz w:val="32"/>
          <w:szCs w:val="32"/>
          <w14:textFill>
            <w14:solidFill>
              <w14:schemeClr w14:val="tx1"/>
            </w14:solidFill>
          </w14:textFill>
        </w:rPr>
        <w:t>成交价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的预付</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竞得人签订《出让合同》后，定金可抵作土地成交价款，余额转作成交价款</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（一）开发投资总额不少于</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9.48亿</w:t>
      </w:r>
      <w:r>
        <w:rPr>
          <w:rFonts w:hint="eastAsia" w:ascii="仿宋_GB2312" w:hAnsi="仿宋_GB2312" w:eastAsia="仿宋_GB2312" w:cs="仿宋_GB2312"/>
          <w:color w:val="000000" w:themeColor="text1"/>
          <w:sz w:val="32"/>
          <w:szCs w:val="32"/>
          <w14:textFill>
            <w14:solidFill>
              <w14:schemeClr w14:val="tx1"/>
            </w14:solidFill>
          </w14:textFill>
        </w:rPr>
        <w:t>元（含地价）。</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竞得人在用地红线内开发建设必须符合城市规划要求，必须按《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建设用地规划设计条件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》（案卷编号：</w:t>
      </w:r>
      <w:r>
        <w:rPr>
          <w:rFonts w:hint="eastAsia" w:ascii="仿宋_GB2312" w:hAnsi="仿宋_GB2312" w:eastAsia="仿宋_GB2312" w:cs="仿宋_GB2312"/>
          <w:color w:val="000000" w:themeColor="text1"/>
          <w:sz w:val="32"/>
          <w:szCs w:val="32"/>
          <w14:textFill>
            <w14:solidFill>
              <w14:schemeClr w14:val="tx1"/>
            </w14:solidFill>
          </w14:textFill>
        </w:rPr>
        <w:t>PB202100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规划控制指标要求及有关规定进行规划设计</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）土地成交价款须以人民币支付,竞得人</w:t>
      </w:r>
      <w:r>
        <w:rPr>
          <w:rFonts w:ascii="仿宋_GB2312" w:hAnsi="仿宋_GB2312" w:eastAsia="仿宋_GB2312" w:cs="仿宋_GB2312"/>
          <w:color w:val="000000" w:themeColor="text1"/>
          <w:sz w:val="32"/>
          <w:szCs w:val="32"/>
          <w14:textFill>
            <w14:solidFill>
              <w14:schemeClr w14:val="tx1"/>
            </w14:solidFill>
          </w14:textFill>
        </w:rPr>
        <w:t>在签订</w:t>
      </w:r>
      <w:r>
        <w:rPr>
          <w:rFonts w:hint="eastAsia" w:ascii="仿宋_GB2312" w:hAnsi="仿宋_GB2312" w:eastAsia="仿宋_GB2312" w:cs="仿宋_GB2312"/>
          <w:color w:val="000000" w:themeColor="text1"/>
          <w:sz w:val="32"/>
          <w:szCs w:val="32"/>
          <w14:textFill>
            <w14:solidFill>
              <w14:schemeClr w14:val="tx1"/>
            </w14:solidFill>
          </w14:textFill>
        </w:rPr>
        <w:t>《出让合同》之日起30日</w:t>
      </w:r>
      <w:r>
        <w:rPr>
          <w:rFonts w:ascii="仿宋_GB2312" w:hAnsi="仿宋_GB2312" w:eastAsia="仿宋_GB2312" w:cs="仿宋_GB2312"/>
          <w:color w:val="000000" w:themeColor="text1"/>
          <w:sz w:val="32"/>
          <w:szCs w:val="32"/>
          <w14:textFill>
            <w14:solidFill>
              <w14:schemeClr w14:val="tx1"/>
            </w14:solidFill>
          </w14:textFill>
        </w:rPr>
        <w:t>内付清全部成交</w:t>
      </w:r>
      <w:r>
        <w:rPr>
          <w:rFonts w:hint="eastAsia" w:ascii="仿宋_GB2312" w:hAnsi="仿宋_GB2312" w:eastAsia="仿宋_GB2312" w:cs="仿宋_GB2312"/>
          <w:color w:val="000000" w:themeColor="text1"/>
          <w:sz w:val="32"/>
          <w:szCs w:val="32"/>
          <w14:textFill>
            <w14:solidFill>
              <w14:schemeClr w14:val="tx1"/>
            </w14:solidFill>
          </w14:textFill>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项目规划建设方案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所报总平面图的主要技术经济指标：</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规划布局6栋厂房，1栋商业（办公）+厂房配套办公，建筑层数地上最高21层，地下1层，计算指标用地面积35129平方米，计容积率总建筑面积122950平方米（其中办公（商业）建筑面积12295平方米），总建筑面积139030平方米，不计容建筑面积16080平方米（其中地下室建筑面积14517.4平方米），容积率3.5，建筑系数30.92%，绿地率15.52%，机动车停车位609个（地上218个，地下391个），非机动车位923个。应建防空地下室面积3200平方米，申请建设防空地下室面积3200平方米。须按程序进行公示，公示期间未收到公众投诉意见则同意所报总平面图及单体建筑设计。停车场须按不低于总停车位的10%比例配置充电设施。排水须采用雨、污分流制，并预留市政管线接驳口，建筑设计须符合国家、省、市有关绿色建筑和建筑节能方面的技术规范和标准。须按海绵城市设计要求做好设计及施工，须按人防相关文件、规范要求做好人防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招商条件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投资强度不低于30000元/平方米，土地产出率（营业收入）不低于22580元/平方米/年，税收产出不低于1400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汝湖镇人民政府提交项目投资计划书和时间安排表，并按月向惠州市惠城区汝湖镇人民政府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）竞得人在签订《成交确认书》前，须与</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惠州市惠城区汝湖镇人民政府</w:t>
      </w:r>
      <w:r>
        <w:rPr>
          <w:rFonts w:hint="eastAsia" w:ascii="仿宋_GB2312" w:hAnsi="仿宋_GB2312" w:eastAsia="仿宋_GB2312" w:cs="仿宋_GB2312"/>
          <w:color w:val="000000" w:themeColor="text1"/>
          <w:sz w:val="32"/>
          <w:szCs w:val="32"/>
          <w14:textFill>
            <w14:solidFill>
              <w14:schemeClr w14:val="tx1"/>
            </w14:solidFill>
          </w14:textFill>
        </w:rPr>
        <w:t>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项目实施监管协议书</w:t>
      </w:r>
      <w:r>
        <w:rPr>
          <w:rFonts w:hint="eastAsia" w:ascii="仿宋_GB2312" w:hAnsi="仿宋_GB2312" w:eastAsia="仿宋_GB2312" w:cs="仿宋_GB2312"/>
          <w:color w:val="000000" w:themeColor="text1"/>
          <w:sz w:val="32"/>
          <w:szCs w:val="32"/>
          <w14:textFill>
            <w14:solidFill>
              <w14:schemeClr w14:val="tx1"/>
            </w14:solidFill>
          </w14:textFill>
        </w:rPr>
        <w:t>》，并由</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惠州市惠城区汝湖镇人民政府</w:t>
      </w:r>
      <w:r>
        <w:rPr>
          <w:rFonts w:hint="eastAsia" w:ascii="仿宋_GB2312" w:hAnsi="仿宋_GB2312" w:eastAsia="仿宋_GB2312" w:cs="仿宋_GB2312"/>
          <w:color w:val="000000" w:themeColor="text1"/>
          <w:sz w:val="32"/>
          <w:szCs w:val="32"/>
          <w14:textFill>
            <w14:solidFill>
              <w14:schemeClr w14:val="tx1"/>
            </w14:solidFill>
          </w14:textFill>
        </w:rPr>
        <w:t>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）竞得人有下列行为之一的，视为违约，取消竞得人资格，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定金不予返还</w:t>
      </w:r>
      <w:r>
        <w:rPr>
          <w:rFonts w:hint="eastAsia" w:ascii="仿宋_GB2312" w:hAnsi="仿宋_GB2312" w:eastAsia="仿宋_GB2312" w:cs="仿宋_GB2312"/>
          <w:color w:val="000000" w:themeColor="text1"/>
          <w:sz w:val="32"/>
          <w:szCs w:val="32"/>
          <w14:textFill>
            <w14:solidFill>
              <w14:schemeClr w14:val="tx1"/>
            </w14:solidFill>
          </w14:textFill>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（一）惠州市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惠城区</w:t>
      </w:r>
      <w:r>
        <w:rPr>
          <w:rFonts w:hint="eastAsia" w:ascii="仿宋_GB2312" w:hAnsi="仿宋_GB2312" w:eastAsia="仿宋_GB2312" w:cs="仿宋_GB2312"/>
          <w:color w:val="000000" w:themeColor="text1"/>
          <w:sz w:val="32"/>
          <w:szCs w:val="32"/>
          <w14:textFill>
            <w14:solidFill>
              <w14:schemeClr w14:val="tx1"/>
            </w14:solidFill>
          </w14:textFill>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地址：惠州市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联系电话：（0752）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2117378</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惠州市公共资源交易中心</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联系地址：广东省惠州市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惠城区三新北路31号市民服务中心3号楼</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联系人：袁小姐、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白</w:t>
      </w:r>
      <w:r>
        <w:rPr>
          <w:rFonts w:hint="eastAsia" w:ascii="仿宋_GB2312" w:hAnsi="仿宋_GB2312" w:eastAsia="仿宋_GB2312" w:cs="仿宋_GB2312"/>
          <w:color w:val="000000" w:themeColor="text1"/>
          <w:sz w:val="32"/>
          <w:szCs w:val="32"/>
          <w14:textFill>
            <w14:solidFill>
              <w14:schemeClr w14:val="tx1"/>
            </w14:solidFill>
          </w14:textFill>
        </w:rPr>
        <w:t>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联系电话：（0752）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7121026、7121036</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中国土地市场网: </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"http://www.landchina.com"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10"/>
          <w:rFonts w:hint="eastAsia" w:ascii="仿宋_GB2312" w:hAnsi="仿宋_GB2312" w:eastAsia="仿宋_GB2312" w:cs="仿宋_GB2312"/>
          <w:color w:val="000000" w:themeColor="text1"/>
          <w:sz w:val="32"/>
          <w:szCs w:val="32"/>
          <w:u w:val="none"/>
          <w14:textFill>
            <w14:solidFill>
              <w14:schemeClr w14:val="tx1"/>
            </w14:solidFill>
          </w14:textFill>
        </w:rPr>
        <w:t>http://www.landchina.com</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惠州市自然资源局网站</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"http://land.huizhou.gov.cn"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10"/>
          <w:rFonts w:hint="eastAsia" w:ascii="仿宋_GB2312" w:hAnsi="仿宋_GB2312" w:eastAsia="仿宋_GB2312" w:cs="仿宋_GB2312"/>
          <w:color w:val="000000" w:themeColor="text1"/>
          <w:sz w:val="32"/>
          <w:szCs w:val="32"/>
          <w:u w:val="none"/>
          <w14:textFill>
            <w14:solidFill>
              <w14:schemeClr w14:val="tx1"/>
            </w14:solidFill>
          </w14:textFill>
        </w:rPr>
        <w:t>http://land.huizhou.gov.cn</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惠州市公共资源交易中心网：</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"http://zyjy.huizhou.gov.cn"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http://zyjy.huizhou.gov.cn</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数字证书办理地址：广东省惠州市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联系电话：0752-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惠州市</w:t>
      </w:r>
      <w:r>
        <w:rPr>
          <w:rFonts w:hint="eastAsia" w:ascii="仿宋_GB2312" w:hAnsi="仿宋_GB2312" w:eastAsia="仿宋_GB2312" w:cs="仿宋_GB2312"/>
          <w:color w:val="000000" w:themeColor="text1"/>
          <w:sz w:val="32"/>
          <w:szCs w:val="32"/>
          <w:lang w:eastAsia="zh-CN"/>
          <w14:textFill>
            <w14:solidFill>
              <w14:schemeClr w14:val="tx1"/>
            </w14:solidFill>
          </w14:textFill>
        </w:rPr>
        <w:t>惠城区</w:t>
      </w:r>
      <w:r>
        <w:rPr>
          <w:rFonts w:hint="eastAsia" w:ascii="仿宋_GB2312" w:hAnsi="仿宋_GB2312" w:eastAsia="仿宋_GB2312" w:cs="仿宋_GB2312"/>
          <w:color w:val="000000" w:themeColor="text1"/>
          <w:sz w:val="32"/>
          <w:szCs w:val="32"/>
          <w14:textFill>
            <w14:solidFill>
              <w14:schemeClr w14:val="tx1"/>
            </w14:solidFill>
          </w14:textFill>
        </w:rPr>
        <w:t>自然资源局</w:t>
      </w:r>
    </w:p>
    <w:p>
      <w:pPr>
        <w:spacing w:line="360" w:lineRule="auto"/>
        <w:jc w:val="center"/>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惠州市公共资源交易中心</w:t>
      </w:r>
    </w:p>
    <w:p>
      <w:pPr>
        <w:spacing w:line="360" w:lineRule="auto"/>
        <w:ind w:firstLine="5120" w:firstLineChars="16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2022年5月18日</w:t>
      </w:r>
    </w:p>
    <w:p>
      <w:pPr>
        <w:spacing w:line="360" w:lineRule="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w:t>
      </w:r>
    </w:p>
    <w:p>
      <w:pPr>
        <w:tabs>
          <w:tab w:val="left" w:pos="9720"/>
        </w:tabs>
        <w:spacing w:line="360" w:lineRule="auto"/>
        <w:jc w:val="center"/>
        <w:outlineLvl w:val="0"/>
        <w:rPr>
          <w:rFonts w:hint="eastAsia" w:ascii="方正小标宋_GBK" w:eastAsia="方正小标宋_GBK"/>
          <w:b/>
          <w:color w:val="000000" w:themeColor="text1"/>
          <w:sz w:val="36"/>
          <w:szCs w:val="36"/>
          <w14:textFill>
            <w14:solidFill>
              <w14:schemeClr w14:val="tx1"/>
            </w14:solidFill>
          </w14:textFill>
        </w:rPr>
      </w:pPr>
      <w:r>
        <w:rPr>
          <w:rFonts w:hint="eastAsia" w:ascii="方正小标宋_GBK" w:eastAsia="方正小标宋_GBK"/>
          <w:b/>
          <w:color w:val="000000" w:themeColor="text1"/>
          <w:sz w:val="36"/>
          <w:szCs w:val="36"/>
          <w14:textFill>
            <w14:solidFill>
              <w14:schemeClr w14:val="tx1"/>
            </w14:solidFill>
          </w14:textFill>
        </w:rPr>
        <w:t>网上挂牌出让地块规划建设指标</w:t>
      </w:r>
    </w:p>
    <w:p>
      <w:pPr>
        <w:pStyle w:val="2"/>
        <w:rPr>
          <w:rFonts w:hint="eastAsia"/>
          <w:color w:val="000000" w:themeColor="text1"/>
          <w14:textFill>
            <w14:solidFill>
              <w14:schemeClr w14:val="tx1"/>
            </w14:solidFill>
          </w14:textFill>
        </w:rPr>
      </w:pPr>
    </w:p>
    <w:tbl>
      <w:tblPr>
        <w:tblStyle w:val="7"/>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挂牌地块编号</w:t>
            </w:r>
          </w:p>
        </w:tc>
        <w:tc>
          <w:tcPr>
            <w:tcW w:w="690" w:type="dxa"/>
            <w:vMerge w:val="restart"/>
            <w:vAlign w:val="center"/>
          </w:tcPr>
          <w:p>
            <w:pPr>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土地</w:t>
            </w:r>
          </w:p>
          <w:p>
            <w:pPr>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位置</w:t>
            </w:r>
          </w:p>
        </w:tc>
        <w:tc>
          <w:tcPr>
            <w:tcW w:w="615" w:type="dxa"/>
            <w:vMerge w:val="restart"/>
            <w:vAlign w:val="center"/>
          </w:tcPr>
          <w:p>
            <w:pPr>
              <w:adjustRightInd w:val="0"/>
              <w:snapToGrid w:val="0"/>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lang w:val="en-US" w:eastAsia="zh-CN"/>
                <w14:textFill>
                  <w14:solidFill>
                    <w14:schemeClr w14:val="tx1"/>
                  </w14:solidFill>
                </w14:textFill>
              </w:rPr>
              <w:t>地块</w:t>
            </w:r>
            <w:r>
              <w:rPr>
                <w:rFonts w:hint="eastAsia" w:ascii="仿宋_GB2312" w:eastAsia="仿宋_GB2312"/>
                <w:b/>
                <w:bCs/>
                <w:color w:val="000000" w:themeColor="text1"/>
                <w:szCs w:val="21"/>
                <w14:textFill>
                  <w14:solidFill>
                    <w14:schemeClr w14:val="tx1"/>
                  </w14:solidFill>
                </w14:textFill>
              </w:rPr>
              <w:t>编号</w:t>
            </w:r>
          </w:p>
        </w:tc>
        <w:tc>
          <w:tcPr>
            <w:tcW w:w="570" w:type="dxa"/>
            <w:vMerge w:val="restart"/>
            <w:vAlign w:val="center"/>
          </w:tcPr>
          <w:p>
            <w:pPr>
              <w:adjustRightInd w:val="0"/>
              <w:snapToGrid w:val="0"/>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土地</w:t>
            </w:r>
          </w:p>
          <w:p>
            <w:pPr>
              <w:adjustRightInd w:val="0"/>
              <w:snapToGrid w:val="0"/>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用途</w:t>
            </w:r>
          </w:p>
        </w:tc>
        <w:tc>
          <w:tcPr>
            <w:tcW w:w="774" w:type="dxa"/>
            <w:vMerge w:val="restart"/>
            <w:vAlign w:val="center"/>
          </w:tcPr>
          <w:p>
            <w:pPr>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宗地使用权面积（</w:t>
            </w:r>
            <w:r>
              <w:rPr>
                <w:rFonts w:hint="eastAsia" w:ascii="宋体" w:hAnsi="宋体" w:cs="宋体"/>
                <w:b/>
                <w:bCs/>
                <w:color w:val="000000" w:themeColor="text1"/>
                <w:szCs w:val="21"/>
                <w14:textFill>
                  <w14:solidFill>
                    <w14:schemeClr w14:val="tx1"/>
                  </w14:solidFill>
                </w14:textFill>
              </w:rPr>
              <w:t>㎡</w:t>
            </w:r>
            <w:r>
              <w:rPr>
                <w:rFonts w:hint="eastAsia" w:ascii="仿宋_GB2312" w:eastAsia="仿宋_GB2312"/>
                <w:b/>
                <w:bCs/>
                <w:color w:val="000000" w:themeColor="text1"/>
                <w:szCs w:val="21"/>
                <w14:textFill>
                  <w14:solidFill>
                    <w14:schemeClr w14:val="tx1"/>
                  </w14:solidFill>
                </w14:textFill>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color w:val="000000" w:themeColor="text1"/>
                <w14:textFill>
                  <w14:solidFill>
                    <w14:schemeClr w14:val="tx1"/>
                  </w14:solidFill>
                </w14:textFill>
              </w:rPr>
            </w:pPr>
          </w:p>
        </w:tc>
        <w:tc>
          <w:tcPr>
            <w:tcW w:w="690" w:type="dxa"/>
            <w:vMerge w:val="continue"/>
            <w:vAlign w:val="center"/>
          </w:tcPr>
          <w:p>
            <w:pPr>
              <w:adjustRightInd w:val="0"/>
              <w:snapToGrid w:val="0"/>
              <w:spacing w:line="320" w:lineRule="exact"/>
              <w:jc w:val="center"/>
              <w:rPr>
                <w:rFonts w:hint="eastAsia" w:ascii="仿宋_GB2312" w:eastAsia="仿宋_GB2312"/>
                <w:b/>
                <w:bCs/>
                <w:color w:val="000000" w:themeColor="text1"/>
                <w14:textFill>
                  <w14:solidFill>
                    <w14:schemeClr w14:val="tx1"/>
                  </w14:solidFill>
                </w14:textFill>
              </w:rPr>
            </w:pPr>
          </w:p>
        </w:tc>
        <w:tc>
          <w:tcPr>
            <w:tcW w:w="615" w:type="dxa"/>
            <w:vMerge w:val="continue"/>
            <w:vAlign w:val="center"/>
          </w:tcPr>
          <w:p>
            <w:pPr>
              <w:adjustRightInd w:val="0"/>
              <w:snapToGrid w:val="0"/>
              <w:spacing w:line="320" w:lineRule="exact"/>
              <w:jc w:val="center"/>
              <w:rPr>
                <w:rFonts w:hint="eastAsia" w:ascii="仿宋_GB2312" w:eastAsia="仿宋_GB2312"/>
                <w:b/>
                <w:bCs/>
                <w:color w:val="000000" w:themeColor="text1"/>
                <w14:textFill>
                  <w14:solidFill>
                    <w14:schemeClr w14:val="tx1"/>
                  </w14:solidFill>
                </w14:textFill>
              </w:rPr>
            </w:pPr>
          </w:p>
        </w:tc>
        <w:tc>
          <w:tcPr>
            <w:tcW w:w="570" w:type="dxa"/>
            <w:vMerge w:val="continue"/>
            <w:vAlign w:val="center"/>
          </w:tcPr>
          <w:p>
            <w:pPr>
              <w:adjustRightInd w:val="0"/>
              <w:snapToGrid w:val="0"/>
              <w:spacing w:line="320" w:lineRule="exact"/>
              <w:jc w:val="center"/>
              <w:rPr>
                <w:rFonts w:hint="eastAsia" w:ascii="仿宋_GB2312" w:eastAsia="仿宋_GB2312"/>
                <w:b/>
                <w:bCs/>
                <w:color w:val="000000" w:themeColor="text1"/>
                <w14:textFill>
                  <w14:solidFill>
                    <w14:schemeClr w14:val="tx1"/>
                  </w14:solidFill>
                </w14:textFill>
              </w:rPr>
            </w:pPr>
          </w:p>
        </w:tc>
        <w:tc>
          <w:tcPr>
            <w:tcW w:w="774" w:type="dxa"/>
            <w:vMerge w:val="continue"/>
            <w:vAlign w:val="center"/>
          </w:tcPr>
          <w:p>
            <w:pPr>
              <w:adjustRightInd w:val="0"/>
              <w:snapToGrid w:val="0"/>
              <w:spacing w:line="320" w:lineRule="exact"/>
              <w:jc w:val="center"/>
              <w:rPr>
                <w:rFonts w:hint="eastAsia" w:ascii="仿宋_GB2312" w:eastAsia="仿宋_GB2312"/>
                <w:b/>
                <w:bCs/>
                <w:color w:val="000000" w:themeColor="text1"/>
                <w14:textFill>
                  <w14:solidFill>
                    <w14:schemeClr w14:val="tx1"/>
                  </w14:solidFill>
                </w14:textFill>
              </w:rPr>
            </w:pPr>
          </w:p>
        </w:tc>
        <w:tc>
          <w:tcPr>
            <w:tcW w:w="948" w:type="dxa"/>
            <w:vAlign w:val="center"/>
          </w:tcPr>
          <w:p>
            <w:pPr>
              <w:spacing w:line="32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计算指标用地面积（</w:t>
            </w:r>
            <w:r>
              <w:rPr>
                <w:rFonts w:hint="eastAsia" w:ascii="宋体" w:hAnsi="宋体" w:cs="宋体"/>
                <w:b/>
                <w:bCs/>
                <w:color w:val="000000" w:themeColor="text1"/>
                <w:szCs w:val="21"/>
                <w14:textFill>
                  <w14:solidFill>
                    <w14:schemeClr w14:val="tx1"/>
                  </w14:solidFill>
                </w14:textFill>
              </w:rPr>
              <w:t>㎡</w:t>
            </w:r>
            <w:r>
              <w:rPr>
                <w:rFonts w:hint="eastAsia" w:ascii="仿宋_GB2312" w:eastAsia="仿宋_GB2312"/>
                <w:b/>
                <w:bCs/>
                <w:color w:val="000000" w:themeColor="text1"/>
                <w:szCs w:val="21"/>
                <w14:textFill>
                  <w14:solidFill>
                    <w14:schemeClr w14:val="tx1"/>
                  </w14:solidFill>
                </w14:textFill>
              </w:rPr>
              <w:t>）</w:t>
            </w:r>
          </w:p>
        </w:tc>
        <w:tc>
          <w:tcPr>
            <w:tcW w:w="720" w:type="dxa"/>
            <w:vAlign w:val="center"/>
          </w:tcPr>
          <w:p>
            <w:pPr>
              <w:autoSpaceDE w:val="0"/>
              <w:autoSpaceDN w:val="0"/>
              <w:adjustRightInd w:val="0"/>
              <w:spacing w:line="240" w:lineRule="exact"/>
              <w:jc w:val="center"/>
              <w:rPr>
                <w:rFonts w:hint="eastAsia" w:eastAsia="仿宋_GB2312"/>
                <w:b/>
                <w:color w:val="000000" w:themeColor="text1"/>
                <w:szCs w:val="21"/>
                <w:lang w:eastAsia="zh-CN"/>
                <w14:textFill>
                  <w14:solidFill>
                    <w14:schemeClr w14:val="tx1"/>
                  </w14:solidFill>
                </w14:textFill>
              </w:rPr>
            </w:pPr>
            <w:r>
              <w:rPr>
                <w:rFonts w:hint="eastAsia" w:eastAsia="仿宋_GB2312"/>
                <w:b/>
                <w:color w:val="000000" w:themeColor="text1"/>
                <w:szCs w:val="21"/>
                <w14:textFill>
                  <w14:solidFill>
                    <w14:schemeClr w14:val="tx1"/>
                  </w14:solidFill>
                </w14:textFill>
              </w:rPr>
              <w:t>建筑</w:t>
            </w:r>
            <w:r>
              <w:rPr>
                <w:rFonts w:hint="eastAsia" w:eastAsia="仿宋_GB2312"/>
                <w:b/>
                <w:color w:val="000000" w:themeColor="text1"/>
                <w:szCs w:val="21"/>
                <w:lang w:val="en-US" w:eastAsia="zh-CN"/>
                <w14:textFill>
                  <w14:solidFill>
                    <w14:schemeClr w14:val="tx1"/>
                  </w14:solidFill>
                </w14:textFill>
              </w:rPr>
              <w:t>系数</w:t>
            </w:r>
          </w:p>
          <w:p>
            <w:pPr>
              <w:autoSpaceDE w:val="0"/>
              <w:autoSpaceDN w:val="0"/>
              <w:adjustRightInd w:val="0"/>
              <w:spacing w:line="240" w:lineRule="exact"/>
              <w:jc w:val="center"/>
              <w:rPr>
                <w:rFonts w:hint="eastAsia" w:ascii="仿宋_GB2312" w:eastAsia="仿宋_GB2312"/>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c>
          <w:tcPr>
            <w:tcW w:w="672" w:type="dxa"/>
            <w:vAlign w:val="center"/>
          </w:tcPr>
          <w:p>
            <w:pPr>
              <w:autoSpaceDE w:val="0"/>
              <w:autoSpaceDN w:val="0"/>
              <w:adjustRightInd w:val="0"/>
              <w:spacing w:line="240" w:lineRule="exact"/>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color w:val="000000" w:themeColor="text1"/>
                <w:szCs w:val="2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计容积率建筑面积（</w:t>
            </w:r>
            <w:r>
              <w:rPr>
                <w:rFonts w:hint="eastAsia" w:ascii="宋体" w:hAnsi="宋体" w:cs="宋体"/>
                <w:b/>
                <w:bCs/>
                <w:color w:val="000000" w:themeColor="text1"/>
                <w:szCs w:val="21"/>
                <w14:textFill>
                  <w14:solidFill>
                    <w14:schemeClr w14:val="tx1"/>
                  </w14:solidFill>
                </w14:textFill>
              </w:rPr>
              <w:t>㎡</w:t>
            </w:r>
            <w:r>
              <w:rPr>
                <w:rFonts w:hint="eastAsia" w:ascii="仿宋_GB2312" w:eastAsia="仿宋_GB2312"/>
                <w:b/>
                <w:bCs/>
                <w:color w:val="000000" w:themeColor="text1"/>
                <w:szCs w:val="21"/>
                <w14:textFill>
                  <w14:solidFill>
                    <w14:schemeClr w14:val="tx1"/>
                  </w14:solidFill>
                </w14:textFill>
              </w:rPr>
              <w:t>）</w:t>
            </w:r>
          </w:p>
        </w:tc>
        <w:tc>
          <w:tcPr>
            <w:tcW w:w="1087" w:type="dxa"/>
            <w:vAlign w:val="center"/>
          </w:tcPr>
          <w:p>
            <w:pPr>
              <w:autoSpaceDE w:val="0"/>
              <w:autoSpaceDN w:val="0"/>
              <w:adjustRightInd w:val="0"/>
              <w:spacing w:line="240" w:lineRule="exact"/>
              <w:jc w:val="center"/>
              <w:rPr>
                <w:rFonts w:hint="eastAsia" w:ascii="仿宋_GB2312" w:eastAsia="仿宋_GB2312"/>
                <w:b/>
                <w:bCs/>
                <w:color w:val="000000" w:themeColor="text1"/>
                <w14:textFill>
                  <w14:solidFill>
                    <w14:schemeClr w14:val="tx1"/>
                  </w14:solidFill>
                </w14:textFill>
              </w:rPr>
            </w:pPr>
            <w:r>
              <w:rPr>
                <w:rFonts w:hint="eastAsia" w:eastAsia="仿宋_GB2312"/>
                <w:b/>
                <w:color w:val="000000" w:themeColor="text1"/>
                <w:szCs w:val="21"/>
                <w14:textFill>
                  <w14:solidFill>
                    <w14:schemeClr w14:val="tx1"/>
                  </w14:solidFill>
                </w14:textFill>
              </w:rPr>
              <w:t>机动车停车位配建标准</w:t>
            </w:r>
          </w:p>
        </w:tc>
        <w:tc>
          <w:tcPr>
            <w:tcW w:w="900" w:type="dxa"/>
            <w:vAlign w:val="center"/>
          </w:tcPr>
          <w:p>
            <w:pPr>
              <w:autoSpaceDE w:val="0"/>
              <w:autoSpaceDN w:val="0"/>
              <w:adjustRightInd w:val="0"/>
              <w:spacing w:line="240" w:lineRule="exact"/>
              <w:jc w:val="center"/>
              <w:rPr>
                <w:rFonts w:hint="eastAsia" w:eastAsia="仿宋_GB2312"/>
                <w:b/>
                <w:color w:val="000000" w:themeColor="text1"/>
                <w:szCs w:val="21"/>
                <w14:textFill>
                  <w14:solidFill>
                    <w14:schemeClr w14:val="tx1"/>
                  </w14:solidFill>
                </w14:textFill>
              </w:rPr>
            </w:pPr>
            <w:r>
              <w:rPr>
                <w:rFonts w:hint="eastAsia" w:eastAsia="仿宋_GB2312"/>
                <w:b/>
                <w:color w:val="000000" w:themeColor="text1"/>
                <w:szCs w:val="21"/>
                <w14:textFill>
                  <w14:solidFill>
                    <w14:schemeClr w14:val="tx1"/>
                  </w14:solidFill>
                </w14:textFill>
              </w:rPr>
              <w:t>绿地率</w:t>
            </w:r>
          </w:p>
          <w:p>
            <w:pPr>
              <w:autoSpaceDE w:val="0"/>
              <w:autoSpaceDN w:val="0"/>
              <w:adjustRightInd w:val="0"/>
              <w:spacing w:line="240" w:lineRule="exact"/>
              <w:jc w:val="center"/>
              <w:rPr>
                <w:rFonts w:hint="eastAsia" w:eastAsia="仿宋_GB2312"/>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c>
          <w:tcPr>
            <w:tcW w:w="979" w:type="dxa"/>
            <w:vAlign w:val="center"/>
          </w:tcPr>
          <w:p>
            <w:pPr>
              <w:autoSpaceDE w:val="0"/>
              <w:autoSpaceDN w:val="0"/>
              <w:adjustRightInd w:val="0"/>
              <w:spacing w:line="240" w:lineRule="exact"/>
              <w:jc w:val="center"/>
              <w:rPr>
                <w:rFonts w:hint="eastAsia" w:ascii="仿宋_GB2312" w:eastAsia="仿宋_GB2312"/>
                <w:b/>
                <w:bCs/>
                <w:color w:val="000000" w:themeColor="text1"/>
                <w:szCs w:val="21"/>
                <w:lang w:eastAsia="zh-CN"/>
                <w14:textFill>
                  <w14:solidFill>
                    <w14:schemeClr w14:val="tx1"/>
                  </w14:solidFill>
                </w14:textFill>
              </w:rPr>
            </w:pPr>
            <w:r>
              <w:rPr>
                <w:rFonts w:hint="eastAsia" w:ascii="仿宋_GB2312" w:eastAsia="仿宋_GB2312"/>
                <w:b/>
                <w:bCs/>
                <w:color w:val="000000" w:themeColor="text1"/>
                <w:szCs w:val="21"/>
                <w:lang w:eastAsia="zh-CN"/>
                <w14:textFill>
                  <w14:solidFill>
                    <w14:schemeClr w14:val="tx1"/>
                  </w14:solidFill>
                </w14:textFill>
              </w:rPr>
              <w:t>产业</w:t>
            </w:r>
          </w:p>
          <w:p>
            <w:pPr>
              <w:autoSpaceDE w:val="0"/>
              <w:autoSpaceDN w:val="0"/>
              <w:adjustRightInd w:val="0"/>
              <w:spacing w:line="240" w:lineRule="exact"/>
              <w:jc w:val="center"/>
              <w:rPr>
                <w:rFonts w:hint="eastAsia" w:ascii="仿宋_GB2312" w:eastAsia="仿宋_GB2312"/>
                <w:b/>
                <w:bCs/>
                <w:color w:val="000000" w:themeColor="text1"/>
                <w:lang w:eastAsia="zh-CN"/>
                <w14:textFill>
                  <w14:solidFill>
                    <w14:schemeClr w14:val="tx1"/>
                  </w14:solidFill>
                </w14:textFill>
              </w:rPr>
            </w:pPr>
            <w:r>
              <w:rPr>
                <w:rFonts w:hint="eastAsia" w:ascii="仿宋_GB2312" w:eastAsia="仿宋_GB2312"/>
                <w:b/>
                <w:bCs/>
                <w:color w:val="000000" w:themeColor="text1"/>
                <w:szCs w:val="21"/>
                <w:lang w:eastAsia="zh-CN"/>
                <w14:textFill>
                  <w14:solidFill>
                    <w14:schemeClr w14:val="tx1"/>
                  </w14:solidFill>
                </w14:textFill>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GP2022-14</w:t>
            </w:r>
          </w:p>
        </w:tc>
        <w:tc>
          <w:tcPr>
            <w:tcW w:w="690" w:type="dxa"/>
            <w:vAlign w:val="center"/>
          </w:tcPr>
          <w:p>
            <w:pPr>
              <w:jc w:val="both"/>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惠州市惠城区汝湖中心区北部工业区JBD91-02-01-01地块</w:t>
            </w:r>
          </w:p>
        </w:tc>
        <w:tc>
          <w:tcPr>
            <w:tcW w:w="615"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default" w:ascii="仿宋_GB2312" w:hAnsi="Times New Roman" w:eastAsia="仿宋_GB2312" w:cs="Times New Roman"/>
                <w:color w:val="000000" w:themeColor="text1"/>
                <w:szCs w:val="21"/>
                <w:lang w:val="en-US" w:eastAsia="zh-CN"/>
                <w14:textFill>
                  <w14:solidFill>
                    <w14:schemeClr w14:val="tx1"/>
                  </w14:solidFill>
                </w14:textFill>
              </w:rPr>
              <w:t>JBD91-02-01-01</w:t>
            </w:r>
          </w:p>
        </w:tc>
        <w:tc>
          <w:tcPr>
            <w:tcW w:w="570" w:type="dxa"/>
            <w:tcMar>
              <w:left w:w="0" w:type="dxa"/>
              <w:right w:w="0" w:type="dxa"/>
            </w:tcMar>
            <w:vAlign w:val="center"/>
          </w:tcPr>
          <w:p>
            <w:pPr>
              <w:jc w:val="center"/>
              <w:rPr>
                <w:rFonts w:hint="eastAsia" w:ascii="仿宋_GB2312" w:hAnsi="Times New Roman" w:eastAsia="仿宋_GB2312" w:cs="Times New Roman"/>
                <w:color w:val="000000" w:themeColor="text1"/>
                <w:szCs w:val="21"/>
                <w:lang w:val="en-US" w:eastAsia="zh-CN"/>
                <w14:textFill>
                  <w14:solidFill>
                    <w14:schemeClr w14:val="tx1"/>
                  </w14:solidFill>
                </w14:textFill>
              </w:rPr>
            </w:pPr>
            <w:bookmarkStart w:id="0" w:name="_GoBack"/>
            <w:r>
              <w:rPr>
                <w:rFonts w:hint="eastAsia" w:ascii="仿宋_GB2312" w:hAnsi="Times New Roman" w:eastAsia="仿宋_GB2312" w:cs="Times New Roman"/>
                <w:color w:val="000000" w:themeColor="text1"/>
                <w:szCs w:val="21"/>
                <w:lang w:val="en-US" w:eastAsia="zh-CN"/>
                <w14:textFill>
                  <w14:solidFill>
                    <w14:schemeClr w14:val="tx1"/>
                  </w14:solidFill>
                </w14:textFill>
              </w:rPr>
              <w:t>一类工业用地（兼容一类物流仓储用地、商业服务业用地）</w:t>
            </w:r>
            <w:bookmarkEnd w:id="0"/>
          </w:p>
        </w:tc>
        <w:tc>
          <w:tcPr>
            <w:tcW w:w="774"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23086.60</w:t>
            </w:r>
          </w:p>
        </w:tc>
        <w:tc>
          <w:tcPr>
            <w:tcW w:w="948"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35129</w:t>
            </w:r>
          </w:p>
        </w:tc>
        <w:tc>
          <w:tcPr>
            <w:tcW w:w="720"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≥30</w:t>
            </w:r>
          </w:p>
        </w:tc>
        <w:tc>
          <w:tcPr>
            <w:tcW w:w="672" w:type="dxa"/>
            <w:vAlign w:val="center"/>
          </w:tcPr>
          <w:p>
            <w:pPr>
              <w:jc w:val="center"/>
              <w:rPr>
                <w:rFonts w:hint="eastAsia"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1.6</w:t>
            </w:r>
            <w:r>
              <w:rPr>
                <w:rFonts w:hint="default" w:ascii="仿宋_GB2312" w:hAnsi="Times New Roman" w:eastAsia="仿宋_GB2312" w:cs="Times New Roman"/>
                <w:color w:val="000000" w:themeColor="text1"/>
                <w:szCs w:val="21"/>
                <w:lang w:val="en-US" w:eastAsia="zh-CN"/>
                <w14:textFill>
                  <w14:solidFill>
                    <w14:schemeClr w14:val="tx1"/>
                  </w14:solidFill>
                </w14:textFill>
              </w:rPr>
              <w:t>-</w:t>
            </w:r>
            <w:r>
              <w:rPr>
                <w:rFonts w:hint="eastAsia" w:ascii="仿宋_GB2312" w:hAnsi="Times New Roman" w:eastAsia="仿宋_GB2312" w:cs="Times New Roman"/>
                <w:color w:val="000000" w:themeColor="text1"/>
                <w:szCs w:val="21"/>
                <w:lang w:val="en-US" w:eastAsia="zh-CN"/>
                <w14:textFill>
                  <w14:solidFill>
                    <w14:schemeClr w14:val="tx1"/>
                  </w14:solidFill>
                </w14:textFill>
              </w:rPr>
              <w:t>3</w:t>
            </w:r>
            <w:r>
              <w:rPr>
                <w:rFonts w:hint="default" w:ascii="仿宋_GB2312" w:hAnsi="Times New Roman" w:eastAsia="仿宋_GB2312" w:cs="Times New Roman"/>
                <w:color w:val="000000" w:themeColor="text1"/>
                <w:szCs w:val="21"/>
                <w:lang w:val="en-US" w:eastAsia="zh-CN"/>
                <w14:textFill>
                  <w14:solidFill>
                    <w14:schemeClr w14:val="tx1"/>
                  </w14:solidFill>
                </w14:textFill>
              </w:rPr>
              <w:t>.</w:t>
            </w:r>
            <w:r>
              <w:rPr>
                <w:rFonts w:hint="eastAsia" w:ascii="仿宋_GB2312" w:hAnsi="Times New Roman" w:eastAsia="仿宋_GB2312" w:cs="Times New Roman"/>
                <w:color w:val="000000" w:themeColor="text1"/>
                <w:szCs w:val="21"/>
                <w:lang w:val="en-US" w:eastAsia="zh-CN"/>
                <w14:textFill>
                  <w14:solidFill>
                    <w14:schemeClr w14:val="tx1"/>
                  </w14:solidFill>
                </w14:textFill>
              </w:rPr>
              <w:t>5</w:t>
            </w:r>
          </w:p>
        </w:tc>
        <w:tc>
          <w:tcPr>
            <w:tcW w:w="1650"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56207-122951（其中配套设施面积≥100、商业建筑面积的比例</w:t>
            </w:r>
            <w:r>
              <w:rPr>
                <w:rFonts w:hint="default" w:ascii="仿宋_GB2312" w:hAnsi="Times New Roman" w:eastAsia="仿宋_GB2312" w:cs="Times New Roman"/>
                <w:color w:val="000000" w:themeColor="text1"/>
                <w:szCs w:val="21"/>
                <w:lang w:val="en-US" w:eastAsia="zh-CN"/>
                <w14:textFill>
                  <w14:solidFill>
                    <w14:schemeClr w14:val="tx1"/>
                  </w14:solidFill>
                </w14:textFill>
              </w:rPr>
              <w:t>≤</w:t>
            </w:r>
            <w:r>
              <w:rPr>
                <w:rFonts w:hint="eastAsia" w:ascii="仿宋_GB2312" w:hAnsi="Times New Roman" w:eastAsia="仿宋_GB2312" w:cs="Times New Roman"/>
                <w:color w:val="000000" w:themeColor="text1"/>
                <w:szCs w:val="21"/>
                <w:lang w:val="en-US" w:eastAsia="zh-CN"/>
                <w14:textFill>
                  <w14:solidFill>
                    <w14:schemeClr w14:val="tx1"/>
                  </w14:solidFill>
                </w14:textFill>
              </w:rPr>
              <w:t>10%）</w:t>
            </w:r>
          </w:p>
        </w:tc>
        <w:tc>
          <w:tcPr>
            <w:tcW w:w="1087"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商业建筑、行政办公及生活服务设施每100平方米计容积率建筑面积≥1个，厂房及仓储每100平方米计容积率建筑面积≥0.3个，停车场须按不低于总停车位的10%的比例配置充电设施。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15-20</w:t>
            </w:r>
          </w:p>
        </w:tc>
        <w:tc>
          <w:tcPr>
            <w:tcW w:w="979"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专业产业园区运营、科技推广和应用服务业用地</w:t>
            </w:r>
          </w:p>
        </w:tc>
        <w:tc>
          <w:tcPr>
            <w:tcW w:w="670" w:type="dxa"/>
            <w:vAlign w:val="center"/>
          </w:tcPr>
          <w:p>
            <w:pPr>
              <w:jc w:val="center"/>
              <w:rPr>
                <w:rFonts w:hint="default" w:ascii="仿宋_GB2312" w:hAnsi="Times New Roman" w:eastAsia="仿宋_GB2312" w:cs="Times New Roman"/>
                <w:color w:val="000000" w:themeColor="text1"/>
                <w:szCs w:val="21"/>
                <w:lang w:val="en-US" w:eastAsia="zh-CN"/>
                <w14:textFill>
                  <w14:solidFill>
                    <w14:schemeClr w14:val="tx1"/>
                  </w14:solidFill>
                </w14:textFill>
              </w:rPr>
            </w:pPr>
            <w:r>
              <w:rPr>
                <w:rFonts w:hint="eastAsia" w:ascii="仿宋_GB2312" w:hAnsi="Times New Roman" w:eastAsia="仿宋_GB2312" w:cs="Times New Roman"/>
                <w:color w:val="000000" w:themeColor="text1"/>
                <w:szCs w:val="21"/>
                <w:lang w:val="en-US" w:eastAsia="zh-CN"/>
                <w14:textFill>
                  <w14:solidFill>
                    <w14:schemeClr w14:val="tx1"/>
                  </w14:solidFill>
                </w14:textFill>
              </w:rPr>
              <w:t>工业50年、商业40年</w:t>
            </w:r>
          </w:p>
          <w:p>
            <w:pPr>
              <w:jc w:val="center"/>
              <w:rPr>
                <w:rFonts w:hint="eastAsia" w:ascii="仿宋_GB2312" w:hAnsi="Times New Roman" w:eastAsia="仿宋_GB2312" w:cs="Times New Roman"/>
                <w:color w:val="000000" w:themeColor="text1"/>
                <w:szCs w:val="21"/>
                <w:lang w:val="en-US" w:eastAsia="zh-CN"/>
                <w14:textFill>
                  <w14:solidFill>
                    <w14:schemeClr w14:val="tx1"/>
                  </w14:solidFill>
                </w14:textFill>
              </w:rPr>
            </w:pPr>
          </w:p>
        </w:tc>
      </w:tr>
    </w:tbl>
    <w:p>
      <w:pPr>
        <w:rPr>
          <w:rFonts w:hint="eastAsia" w:eastAsia="宋体"/>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abstractNum w:abstractNumId="1">
    <w:nsid w:val="7BB7AB27"/>
    <w:multiLevelType w:val="singleLevel"/>
    <w:tmpl w:val="7BB7AB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36E6"/>
    <w:rsid w:val="045C3FD8"/>
    <w:rsid w:val="04946AA6"/>
    <w:rsid w:val="07386886"/>
    <w:rsid w:val="082B1937"/>
    <w:rsid w:val="0A106981"/>
    <w:rsid w:val="0D167AC3"/>
    <w:rsid w:val="0DF23899"/>
    <w:rsid w:val="0E7A65F6"/>
    <w:rsid w:val="101D3BC2"/>
    <w:rsid w:val="10BD4DFA"/>
    <w:rsid w:val="111502FA"/>
    <w:rsid w:val="11497254"/>
    <w:rsid w:val="137618AF"/>
    <w:rsid w:val="1378696F"/>
    <w:rsid w:val="13D50F1B"/>
    <w:rsid w:val="14895F86"/>
    <w:rsid w:val="167673A1"/>
    <w:rsid w:val="17AA0480"/>
    <w:rsid w:val="188D227F"/>
    <w:rsid w:val="1A0B2C56"/>
    <w:rsid w:val="1AA5305E"/>
    <w:rsid w:val="1ADB0E54"/>
    <w:rsid w:val="1C5904D7"/>
    <w:rsid w:val="1DE30B94"/>
    <w:rsid w:val="1E862B6D"/>
    <w:rsid w:val="1F7C2358"/>
    <w:rsid w:val="20ED2229"/>
    <w:rsid w:val="214F5422"/>
    <w:rsid w:val="22890C8D"/>
    <w:rsid w:val="25032222"/>
    <w:rsid w:val="25055FD6"/>
    <w:rsid w:val="28774868"/>
    <w:rsid w:val="2995533F"/>
    <w:rsid w:val="2A6B42FA"/>
    <w:rsid w:val="2A870225"/>
    <w:rsid w:val="2AC221EF"/>
    <w:rsid w:val="2B5D4967"/>
    <w:rsid w:val="2B991EB8"/>
    <w:rsid w:val="30282AD9"/>
    <w:rsid w:val="304C7078"/>
    <w:rsid w:val="31520488"/>
    <w:rsid w:val="31CE6D72"/>
    <w:rsid w:val="35335FA2"/>
    <w:rsid w:val="35521EEE"/>
    <w:rsid w:val="36061489"/>
    <w:rsid w:val="37607760"/>
    <w:rsid w:val="380440B7"/>
    <w:rsid w:val="381E07C6"/>
    <w:rsid w:val="38BD14D1"/>
    <w:rsid w:val="393D0EAE"/>
    <w:rsid w:val="3A1539BC"/>
    <w:rsid w:val="3A496A68"/>
    <w:rsid w:val="3B315140"/>
    <w:rsid w:val="3C13026D"/>
    <w:rsid w:val="3DDC60B5"/>
    <w:rsid w:val="3F3714BF"/>
    <w:rsid w:val="40231E47"/>
    <w:rsid w:val="40363F40"/>
    <w:rsid w:val="411B39E1"/>
    <w:rsid w:val="42CE6157"/>
    <w:rsid w:val="43706132"/>
    <w:rsid w:val="43A206D5"/>
    <w:rsid w:val="45164822"/>
    <w:rsid w:val="45C047BF"/>
    <w:rsid w:val="4A1228DB"/>
    <w:rsid w:val="4A1B1ECC"/>
    <w:rsid w:val="4AE74DD0"/>
    <w:rsid w:val="4C2E14D5"/>
    <w:rsid w:val="4F760243"/>
    <w:rsid w:val="4F861E18"/>
    <w:rsid w:val="5045209B"/>
    <w:rsid w:val="50AC3441"/>
    <w:rsid w:val="538C505C"/>
    <w:rsid w:val="55B64659"/>
    <w:rsid w:val="565101CA"/>
    <w:rsid w:val="567F481B"/>
    <w:rsid w:val="57A3234F"/>
    <w:rsid w:val="57C844D5"/>
    <w:rsid w:val="596A13D8"/>
    <w:rsid w:val="5A893EB0"/>
    <w:rsid w:val="5AF873B7"/>
    <w:rsid w:val="5C1109AA"/>
    <w:rsid w:val="5D241B5A"/>
    <w:rsid w:val="5E3B0440"/>
    <w:rsid w:val="606821F3"/>
    <w:rsid w:val="60BF3E28"/>
    <w:rsid w:val="614A26F3"/>
    <w:rsid w:val="64D925C4"/>
    <w:rsid w:val="672E23F3"/>
    <w:rsid w:val="68527CA2"/>
    <w:rsid w:val="692A6240"/>
    <w:rsid w:val="6EB83079"/>
    <w:rsid w:val="6F4B3B48"/>
    <w:rsid w:val="714B55F7"/>
    <w:rsid w:val="73BE7EBD"/>
    <w:rsid w:val="73D33D8C"/>
    <w:rsid w:val="748840AA"/>
    <w:rsid w:val="761352C3"/>
    <w:rsid w:val="77DD303C"/>
    <w:rsid w:val="790936CB"/>
    <w:rsid w:val="79E82C45"/>
    <w:rsid w:val="7ACA2817"/>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白艳萍</cp:lastModifiedBy>
  <cp:lastPrinted>2022-05-18T08:37:00Z</cp:lastPrinted>
  <dcterms:modified xsi:type="dcterms:W3CDTF">2022-06-22T02:56:56Z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2376193916E34C638ABC7AA510448726</vt:lpwstr>
  </property>
</Properties>
</file>