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（二）地块位置：惠州市</w:t>
      </w:r>
      <w:r>
        <w:rPr>
          <w:rFonts w:hint="eastAsia" w:ascii="仿宋_GB2312" w:hAnsi="仿宋_GB2312" w:eastAsia="仿宋_GB2312" w:cs="仿宋_GB2312"/>
          <w:sz w:val="32"/>
          <w:szCs w:val="32"/>
          <w:lang w:val="en-US" w:eastAsia="zh-CN"/>
        </w:rPr>
        <w:t>惠城区江南大道</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JNDD03-14、JNDD03-17、JNDD03-18</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w:t>
      </w:r>
      <w:r>
        <w:rPr>
          <w:rFonts w:hint="eastAsia" w:ascii="仿宋_GB2312" w:hAnsi="仿宋" w:eastAsia="仿宋_GB2312" w:cs="Times New Roman"/>
          <w:kern w:val="2"/>
          <w:sz w:val="32"/>
          <w:szCs w:val="32"/>
        </w:rPr>
        <w:t>平面界址点</w:t>
      </w:r>
      <w:r>
        <w:rPr>
          <w:rFonts w:hint="eastAsia" w:ascii="仿宋_GB2312" w:hAnsi="仿宋" w:eastAsia="仿宋_GB2312" w:cs="Times New Roman"/>
          <w:kern w:val="2"/>
          <w:sz w:val="32"/>
          <w:szCs w:val="32"/>
          <w:lang w:eastAsia="zh-CN"/>
        </w:rPr>
        <w:t>以建设用地红线图（案宗编号：</w:t>
      </w:r>
      <w:r>
        <w:rPr>
          <w:rFonts w:hint="eastAsia" w:ascii="仿宋_GB2312" w:hAnsi="仿宋" w:eastAsia="仿宋_GB2312" w:cs="Times New Roman"/>
          <w:kern w:val="2"/>
          <w:sz w:val="32"/>
          <w:szCs w:val="32"/>
          <w:lang w:val="en-US" w:eastAsia="zh-CN"/>
        </w:rPr>
        <w:t>YD20200040、YD20200039、YD20200038)</w:t>
      </w:r>
      <w:r>
        <w:rPr>
          <w:rFonts w:hint="eastAsia" w:ascii="仿宋_GB2312" w:hAnsi="仿宋" w:eastAsia="仿宋_GB2312" w:cs="Times New Roman"/>
          <w:kern w:val="2"/>
          <w:sz w:val="32"/>
          <w:szCs w:val="32"/>
        </w:rPr>
        <w:t>为准</w:t>
      </w:r>
      <w:r>
        <w:rPr>
          <w:rFonts w:hint="eastAsia" w:ascii="仿宋_GB2312" w:hAnsi="仿宋_GB2312" w:eastAsia="仿宋_GB2312" w:cs="仿宋_GB2312"/>
          <w:sz w:val="32"/>
          <w:szCs w:val="32"/>
        </w:rPr>
        <w:t>，宗地竖向界限以《</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sz w:val="32"/>
          <w:szCs w:val="32"/>
        </w:rPr>
        <w:t xml:space="preserve">》(案卷编号: </w:t>
      </w:r>
      <w:r>
        <w:rPr>
          <w:rFonts w:hint="eastAsia" w:ascii="仿宋_GB2312" w:hAnsi="仿宋" w:eastAsia="仿宋_GB2312" w:cs="仿宋_GB2312"/>
          <w:sz w:val="32"/>
          <w:szCs w:val="32"/>
        </w:rPr>
        <w:t>PB20</w:t>
      </w:r>
      <w:r>
        <w:rPr>
          <w:rFonts w:hint="eastAsia" w:ascii="仿宋_GB2312" w:hAnsi="仿宋" w:eastAsia="仿宋_GB2312" w:cs="仿宋_GB2312"/>
          <w:sz w:val="32"/>
          <w:szCs w:val="32"/>
          <w:lang w:val="en-US" w:eastAsia="zh-CN"/>
        </w:rPr>
        <w:t>200044</w:t>
      </w:r>
      <w:r>
        <w:rPr>
          <w:rFonts w:hint="eastAsia" w:ascii="仿宋_GB2312" w:hAnsi="仿宋_GB2312" w:eastAsia="仿宋_GB2312" w:cs="仿宋_GB2312"/>
          <w:sz w:val="32"/>
          <w:szCs w:val="32"/>
        </w:rPr>
        <w:t>号)（以下简称“《</w:t>
      </w:r>
      <w:r>
        <w:rPr>
          <w:rFonts w:hint="eastAsia" w:ascii="仿宋_GB2312" w:hAnsi="仿宋_GB2312" w:eastAsia="仿宋_GB2312" w:cs="仿宋_GB2312"/>
          <w:sz w:val="32"/>
          <w:szCs w:val="32"/>
          <w:lang w:val="en-US" w:eastAsia="zh-CN"/>
        </w:rPr>
        <w:t>规划设计条件</w:t>
      </w:r>
      <w:r>
        <w:rPr>
          <w:rFonts w:hint="eastAsia" w:ascii="仿宋_GB2312" w:hAnsi="仿宋_GB2312" w:eastAsia="仿宋_GB2312" w:cs="仿宋_GB2312"/>
          <w:sz w:val="32"/>
          <w:szCs w:val="32"/>
        </w:rPr>
        <w:t>》”）规定为准；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eastAsia="仿宋_GB2312"/>
          <w:sz w:val="32"/>
          <w:szCs w:val="32"/>
          <w:lang w:val="en-US" w:eastAsia="zh-CN"/>
        </w:rPr>
        <w:t>78464.21</w:t>
      </w:r>
      <w:r>
        <w:rPr>
          <w:rFonts w:hint="eastAsia" w:ascii="仿宋_GB2312" w:eastAsia="仿宋_GB2312"/>
          <w:sz w:val="32"/>
          <w:szCs w:val="32"/>
        </w:rPr>
        <w:t>平方米</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hAnsi="仿宋_GB2312" w:eastAsia="仿宋_GB2312" w:cs="仿宋_GB2312"/>
          <w:sz w:val="32"/>
          <w:szCs w:val="32"/>
          <w:lang w:val="en-US" w:eastAsia="zh-CN"/>
        </w:rPr>
        <w:t>JNDD03-14地块为</w:t>
      </w:r>
      <w:r>
        <w:rPr>
          <w:rFonts w:hint="default" w:ascii="仿宋_GB2312" w:hAnsi="仿宋_GB2312" w:eastAsia="仿宋_GB2312" w:cs="仿宋_GB2312"/>
          <w:sz w:val="32"/>
          <w:szCs w:val="32"/>
          <w:lang w:val="en-US" w:eastAsia="zh-CN"/>
        </w:rPr>
        <w:t>20378.29</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；JNDD03-17地块为</w:t>
      </w:r>
      <w:r>
        <w:rPr>
          <w:rFonts w:hint="default" w:ascii="仿宋_GB2312" w:hAnsi="仿宋_GB2312" w:eastAsia="仿宋_GB2312" w:cs="仿宋_GB2312"/>
          <w:sz w:val="32"/>
          <w:szCs w:val="32"/>
          <w:lang w:val="en-US" w:eastAsia="zh-CN"/>
        </w:rPr>
        <w:t>39217.7</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；JNDD03-18地块为18868.22</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99671.21平方米（</w:t>
      </w:r>
      <w:r>
        <w:rPr>
          <w:rFonts w:hint="eastAsia" w:ascii="仿宋_GB2312" w:eastAsia="仿宋_GB2312"/>
          <w:sz w:val="32"/>
          <w:szCs w:val="32"/>
        </w:rPr>
        <w:t>其中：</w:t>
      </w:r>
      <w:r>
        <w:rPr>
          <w:rFonts w:hint="eastAsia" w:ascii="仿宋_GB2312" w:hAnsi="仿宋_GB2312" w:eastAsia="仿宋_GB2312" w:cs="仿宋_GB2312"/>
          <w:sz w:val="32"/>
          <w:szCs w:val="32"/>
          <w:lang w:val="en-US" w:eastAsia="zh-CN"/>
        </w:rPr>
        <w:t>JNDD03-14地块为</w:t>
      </w:r>
      <w:r>
        <w:rPr>
          <w:rFonts w:hint="default" w:ascii="仿宋_GB2312" w:hAnsi="仿宋_GB2312" w:eastAsia="仿宋_GB2312" w:cs="仿宋_GB2312"/>
          <w:sz w:val="32"/>
          <w:szCs w:val="32"/>
          <w:lang w:val="en-US" w:eastAsia="zh-CN"/>
        </w:rPr>
        <w:t>26198</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；JNDD03-17地块为</w:t>
      </w:r>
      <w:r>
        <w:rPr>
          <w:rFonts w:hint="default" w:ascii="仿宋_GB2312" w:hAnsi="仿宋_GB2312" w:eastAsia="仿宋_GB2312" w:cs="仿宋_GB2312"/>
          <w:sz w:val="32"/>
          <w:szCs w:val="32"/>
          <w:lang w:val="en-US" w:eastAsia="zh-CN"/>
        </w:rPr>
        <w:t>50171.6</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；JNDD03-18地块为23301.61</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w:t>
      </w:r>
      <w:r>
        <w:rPr>
          <w:rFonts w:hint="eastAsia" w:ascii="仿宋_GB2312" w:hAnsi="仿宋_GB2312" w:eastAsia="仿宋_GB2312" w:cs="仿宋_GB2312"/>
          <w:sz w:val="32"/>
          <w:szCs w:val="32"/>
          <w:lang w:val="en-US" w:eastAsia="zh-CN"/>
        </w:rPr>
        <w:t>199008-279715平方米(JNDD03-14地块65495-83833平方米，其中：产业用房建筑面积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60%；住宅、商业和商务建筑面积≤30%，配套用房建筑面积≤10%）；（JNDD03-17地块</w:t>
      </w:r>
      <w:r>
        <w:rPr>
          <w:rFonts w:hint="default" w:ascii="仿宋_GB2312" w:hAnsi="仿宋_GB2312" w:eastAsia="仿宋_GB2312" w:cs="仿宋_GB2312"/>
          <w:sz w:val="32"/>
          <w:szCs w:val="32"/>
          <w:lang w:val="en-US" w:eastAsia="zh-CN"/>
        </w:rPr>
        <w:t>75258-100344</w:t>
      </w:r>
      <w:r>
        <w:rPr>
          <w:rFonts w:hint="eastAsia" w:ascii="仿宋_GB2312" w:hAnsi="仿宋_GB2312" w:eastAsia="仿宋_GB2312" w:cs="仿宋_GB2312"/>
          <w:sz w:val="32"/>
          <w:szCs w:val="32"/>
          <w:lang w:val="en-US" w:eastAsia="zh-CN"/>
        </w:rPr>
        <w:t>（其中：产业用房建筑面积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60%；住宅、商业和商务建筑面积≤30%，配套用房建筑面积≤10%）；（JNDD03-18地块</w:t>
      </w:r>
      <w:r>
        <w:rPr>
          <w:rFonts w:hint="default" w:ascii="仿宋_GB2312" w:hAnsi="仿宋_GB2312" w:eastAsia="仿宋_GB2312" w:cs="仿宋_GB2312"/>
          <w:sz w:val="32"/>
          <w:szCs w:val="32"/>
          <w:lang w:val="en-US" w:eastAsia="zh-CN"/>
        </w:rPr>
        <w:t>58255-95538</w:t>
      </w:r>
      <w:r>
        <w:rPr>
          <w:rFonts w:hint="eastAsia" w:ascii="仿宋_GB2312" w:hAnsi="仿宋_GB2312" w:eastAsia="仿宋_GB2312" w:cs="仿宋_GB2312"/>
          <w:sz w:val="32"/>
          <w:szCs w:val="32"/>
          <w:lang w:val="en-US" w:eastAsia="zh-CN"/>
        </w:rPr>
        <w:t>（其中：产业用房建筑面积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60%；住宅、商业和商务建筑面积≤30%，配套用房建筑面积≤10%）；</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（八）</w:t>
      </w:r>
      <w:r>
        <w:rPr>
          <w:rFonts w:hint="eastAsia" w:ascii="仿宋_GB2312" w:hAnsi="仿宋_GB2312" w:eastAsia="仿宋_GB2312" w:cs="仿宋_GB2312"/>
          <w:sz w:val="32"/>
          <w:szCs w:val="32"/>
          <w:lang w:val="en-US" w:eastAsia="zh-CN"/>
        </w:rPr>
        <w:t>机动车停车位配建标准: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产业每100平方米计容积率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0.5个，住宅、商业和商务每100平方米计容积率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（九）土地用途为：</w:t>
      </w:r>
      <w:r>
        <w:rPr>
          <w:rFonts w:hint="eastAsia" w:ascii="仿宋_GB2312" w:hAnsi="仿宋_GB2312" w:eastAsia="仿宋_GB2312" w:cs="仿宋_GB2312"/>
          <w:sz w:val="32"/>
          <w:szCs w:val="32"/>
          <w:lang w:val="en-US" w:eastAsia="zh-CN"/>
        </w:rPr>
        <w:t>新型产业</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（十）土地使用权出让年期为：</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用地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住宅用地70年、</w:t>
      </w:r>
      <w:r>
        <w:rPr>
          <w:rFonts w:hint="eastAsia" w:ascii="仿宋_GB2312" w:hAnsi="仿宋_GB2312" w:eastAsia="仿宋_GB2312" w:cs="仿宋_GB2312"/>
          <w:sz w:val="32"/>
          <w:szCs w:val="32"/>
        </w:rPr>
        <w:t>商服用地40年；</w:t>
      </w:r>
    </w:p>
    <w:p>
      <w:pPr>
        <w:tabs>
          <w:tab w:val="left" w:pos="3388"/>
        </w:tabs>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（十一）容积率为：</w:t>
      </w:r>
      <w:r>
        <w:rPr>
          <w:rFonts w:hint="eastAsia" w:ascii="仿宋_GB2312" w:hAnsi="仿宋_GB2312" w:eastAsia="仿宋_GB2312" w:cs="仿宋_GB2312"/>
          <w:sz w:val="32"/>
          <w:szCs w:val="32"/>
          <w:lang w:val="en-US" w:eastAsia="zh-CN"/>
        </w:rPr>
        <w:t>JNDD03-14</w:t>
      </w:r>
      <w:r>
        <w:rPr>
          <w:rFonts w:hint="eastAsia" w:ascii="仿宋_GB2312" w:eastAsia="仿宋_GB2312"/>
          <w:sz w:val="32"/>
          <w:szCs w:val="32"/>
        </w:rPr>
        <w:t>地块</w:t>
      </w:r>
      <w:r>
        <w:rPr>
          <w:rFonts w:hint="eastAsia" w:ascii="仿宋_GB2312" w:hAnsi="仿宋_GB2312" w:eastAsia="仿宋_GB2312" w:cs="仿宋_GB2312"/>
          <w:sz w:val="32"/>
          <w:szCs w:val="32"/>
          <w:lang w:val="en-US" w:eastAsia="zh-CN"/>
        </w:rPr>
        <w:t>2.5-3.2；JNDD03-17地块1.5-2.0；JNDD03-18地块2.5-4.1；</w:t>
      </w:r>
    </w:p>
    <w:p>
      <w:pPr>
        <w:spacing w:line="560" w:lineRule="exact"/>
        <w:ind w:firstLine="480" w:firstLineChars="150"/>
        <w:rPr>
          <w:rFonts w:hint="eastAsia" w:ascii="仿宋_GB2312" w:eastAsia="仿宋_GB2312" w:cs="Times New Roman"/>
          <w:sz w:val="32"/>
          <w:szCs w:val="32"/>
          <w:lang w:val="en-US" w:eastAsia="zh-CN"/>
        </w:rPr>
      </w:pPr>
      <w:r>
        <w:rPr>
          <w:rFonts w:hint="eastAsia" w:ascii="仿宋_GB2312" w:hAnsi="仿宋_GB2312" w:eastAsia="仿宋_GB2312" w:cs="仿宋_GB2312"/>
          <w:sz w:val="32"/>
          <w:szCs w:val="32"/>
        </w:rPr>
        <w:t>（十二）</w:t>
      </w:r>
      <w:r>
        <w:rPr>
          <w:rFonts w:hint="eastAsia" w:ascii="仿宋_GB2312" w:eastAsia="仿宋_GB2312"/>
          <w:sz w:val="32"/>
          <w:szCs w:val="32"/>
        </w:rPr>
        <w:t>建筑密度为：</w:t>
      </w:r>
      <w:r>
        <w:rPr>
          <w:rFonts w:hint="eastAsia" w:ascii="仿宋_GB2312" w:hAnsi="仿宋_GB2312" w:eastAsia="仿宋_GB2312" w:cs="仿宋_GB2312"/>
          <w:sz w:val="32"/>
          <w:szCs w:val="32"/>
          <w:lang w:val="en-US" w:eastAsia="zh-CN"/>
        </w:rPr>
        <w:t>JNDD03-14</w:t>
      </w:r>
      <w:r>
        <w:rPr>
          <w:rFonts w:hint="eastAsia" w:ascii="仿宋_GB2312" w:eastAsia="仿宋_GB2312"/>
          <w:sz w:val="32"/>
          <w:szCs w:val="32"/>
        </w:rPr>
        <w:t>地块</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60</w:t>
      </w:r>
      <w:r>
        <w:rPr>
          <w:rFonts w:hint="eastAsia" w:ascii="仿宋_GB2312" w:eastAsia="仿宋_GB2312" w:cs="Times New Roman"/>
          <w:sz w:val="32"/>
          <w:szCs w:val="32"/>
        </w:rPr>
        <w:t>%；</w:t>
      </w:r>
      <w:r>
        <w:rPr>
          <w:rFonts w:hint="eastAsia" w:ascii="仿宋_GB2312" w:hAnsi="仿宋_GB2312" w:eastAsia="仿宋_GB2312" w:cs="仿宋_GB2312"/>
          <w:sz w:val="32"/>
          <w:szCs w:val="32"/>
          <w:lang w:val="en-US" w:eastAsia="zh-CN"/>
        </w:rPr>
        <w:t>JNDD03-17地块</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45</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w:t>
      </w:r>
      <w:r>
        <w:rPr>
          <w:rFonts w:hint="eastAsia" w:ascii="仿宋_GB2312" w:hAnsi="仿宋_GB2312" w:eastAsia="仿宋_GB2312" w:cs="仿宋_GB2312"/>
          <w:sz w:val="32"/>
          <w:szCs w:val="32"/>
          <w:lang w:val="en-US" w:eastAsia="zh-CN"/>
        </w:rPr>
        <w:t>JNDD03-18地块</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45</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w:t>
      </w:r>
    </w:p>
    <w:p>
      <w:pPr>
        <w:spacing w:line="560" w:lineRule="exact"/>
        <w:ind w:firstLine="480" w:firstLineChars="150"/>
        <w:rPr>
          <w:rFonts w:hint="default" w:ascii="仿宋_GB2312" w:eastAsia="仿宋_GB2312" w:cs="Times New Roman"/>
          <w:sz w:val="32"/>
          <w:szCs w:val="32"/>
          <w:lang w:val="en-US"/>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JNDD03-14</w:t>
      </w:r>
      <w:r>
        <w:rPr>
          <w:rFonts w:hint="eastAsia" w:ascii="仿宋_GB2312" w:eastAsia="仿宋_GB2312"/>
          <w:sz w:val="32"/>
          <w:szCs w:val="32"/>
        </w:rPr>
        <w:t>地块</w:t>
      </w:r>
      <w:r>
        <w:rPr>
          <w:rFonts w:hint="eastAsia" w:ascii="仿宋_GB2312" w:hAnsi="仿宋_GB2312" w:eastAsia="仿宋_GB2312" w:cs="仿宋_GB2312"/>
          <w:sz w:val="32"/>
          <w:szCs w:val="32"/>
          <w:lang w:val="en-US" w:eastAsia="zh-CN"/>
        </w:rPr>
        <w:t>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JNDD03-17地块15-20%；JNDD03-18地块15-20%</w:t>
      </w:r>
    </w:p>
    <w:p>
      <w:pPr>
        <w:rPr>
          <w:rFonts w:hint="eastAsia" w:ascii="仿宋_GB2312" w:eastAsia="仿宋_GB2312" w:cs="Times New Roman"/>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val="en-US" w:eastAsia="zh-CN"/>
        </w:rPr>
        <w:t>新型产业、住宅、商业和商务及配套设施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（一）开发投资总额按新型产业用地项目实施监管协议书中有关约定执行。</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（二）土地成交价款须以人民币支付,竞得人在签订《出让合同》之日起30日内付清全部成交价款。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（三）该地权利清晰，安置补偿落实到位，没有法律经济纠纷，具备动工开发所必须的基本条件。</w:t>
      </w:r>
    </w:p>
    <w:p>
      <w:pPr>
        <w:pStyle w:val="2"/>
        <w:keepNext w:val="0"/>
        <w:keepLines w:val="0"/>
        <w:pageBreakBefore w:val="0"/>
        <w:widowControl w:val="0"/>
        <w:kinsoku/>
        <w:wordWrap/>
        <w:overflowPunct/>
        <w:topLinePunct w:val="0"/>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）竞得人在用地红线内开发建设必须符合城市规划要求，必须按</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建设用地</w:t>
      </w:r>
      <w:r>
        <w:rPr>
          <w:rFonts w:hint="eastAsia" w:ascii="仿宋_GB2312" w:hAnsi="仿宋" w:eastAsia="仿宋_GB2312" w:cs="Times New Roman"/>
          <w:kern w:val="2"/>
          <w:sz w:val="32"/>
          <w:szCs w:val="32"/>
        </w:rPr>
        <w:t>规划设计条件（案卷编号：</w:t>
      </w:r>
      <w:r>
        <w:rPr>
          <w:rFonts w:hint="eastAsia" w:ascii="仿宋_GB2312" w:hAnsi="仿宋" w:eastAsia="仿宋_GB2312" w:cs="Times New Roman"/>
          <w:kern w:val="2"/>
          <w:sz w:val="32"/>
          <w:szCs w:val="32"/>
          <w:lang w:val="en-US" w:eastAsia="zh-CN"/>
        </w:rPr>
        <w:t>PB</w:t>
      </w:r>
      <w:r>
        <w:rPr>
          <w:rFonts w:hint="default" w:ascii="仿宋_GB2312" w:hAnsi="仿宋" w:eastAsia="仿宋_GB2312" w:cs="Times New Roman"/>
          <w:kern w:val="2"/>
          <w:sz w:val="32"/>
          <w:szCs w:val="32"/>
          <w:lang w:val="en-US" w:eastAsia="zh-CN"/>
        </w:rPr>
        <w:t>20</w:t>
      </w:r>
      <w:r>
        <w:rPr>
          <w:rFonts w:hint="eastAsia" w:ascii="仿宋_GB2312" w:hAnsi="仿宋" w:eastAsia="仿宋_GB2312" w:cs="Times New Roman"/>
          <w:kern w:val="2"/>
          <w:sz w:val="32"/>
          <w:szCs w:val="32"/>
          <w:lang w:val="en-US" w:eastAsia="zh-CN"/>
        </w:rPr>
        <w:t>200044号</w:t>
      </w:r>
      <w:r>
        <w:rPr>
          <w:rFonts w:hint="eastAsia" w:ascii="仿宋_GB2312" w:hAnsi="仿宋" w:eastAsia="仿宋_GB2312" w:cs="Times New Roman"/>
          <w:kern w:val="2"/>
          <w:sz w:val="32"/>
          <w:szCs w:val="32"/>
        </w:rPr>
        <w:t>）》</w:t>
      </w:r>
      <w:r>
        <w:rPr>
          <w:rFonts w:hint="eastAsia" w:hAnsi="仿宋_GB2312" w:cs="仿宋_GB2312"/>
          <w:szCs w:val="32"/>
        </w:rPr>
        <w:t>规划控制指标要求及有关规定进行规划设计。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lang w:val="en-US" w:eastAsia="zh-CN"/>
        </w:rPr>
        <w:t>五</w:t>
      </w: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lang w:val="en-US" w:eastAsia="zh-CN"/>
        </w:rPr>
        <w:t>JNDD03-14、JNDD03-17、JNDD03-18</w:t>
      </w:r>
      <w:r>
        <w:rPr>
          <w:rFonts w:hint="eastAsia" w:ascii="仿宋_GB2312" w:hAnsi="仿宋" w:eastAsia="仿宋_GB2312" w:cs="Times New Roman"/>
          <w:kern w:val="2"/>
          <w:sz w:val="32"/>
          <w:szCs w:val="32"/>
          <w:lang w:eastAsia="zh-CN"/>
        </w:rPr>
        <w:t>地</w:t>
      </w:r>
      <w:r>
        <w:rPr>
          <w:rFonts w:hint="eastAsia" w:ascii="仿宋_GB2312" w:hAnsi="仿宋" w:eastAsia="仿宋_GB2312" w:cs="Times New Roman"/>
          <w:kern w:val="2"/>
          <w:sz w:val="32"/>
          <w:szCs w:val="32"/>
        </w:rPr>
        <w:t>块</w:t>
      </w:r>
      <w:r>
        <w:rPr>
          <w:rFonts w:hint="eastAsia" w:ascii="仿宋_GB2312" w:hAnsi="仿宋" w:eastAsia="仿宋_GB2312" w:cs="Times New Roman"/>
          <w:kern w:val="2"/>
          <w:sz w:val="32"/>
          <w:szCs w:val="32"/>
          <w:lang w:eastAsia="zh-CN"/>
        </w:rPr>
        <w:t>内兼容的商业、商务计容积率建筑面积允许在三个地块内统筹考虑，集中建设，但住宅须集中在</w:t>
      </w:r>
      <w:r>
        <w:rPr>
          <w:rFonts w:hint="eastAsia" w:ascii="仿宋_GB2312" w:hAnsi="仿宋" w:eastAsia="仿宋_GB2312" w:cs="Times New Roman"/>
          <w:kern w:val="2"/>
          <w:sz w:val="32"/>
          <w:szCs w:val="32"/>
          <w:lang w:val="en-US" w:eastAsia="zh-CN"/>
        </w:rPr>
        <w:t>JNDD03-18</w:t>
      </w:r>
      <w:r>
        <w:rPr>
          <w:rFonts w:hint="eastAsia" w:ascii="仿宋_GB2312" w:hAnsi="仿宋" w:eastAsia="仿宋_GB2312" w:cs="Times New Roman"/>
          <w:kern w:val="2"/>
          <w:sz w:val="32"/>
          <w:szCs w:val="32"/>
          <w:lang w:eastAsia="zh-CN"/>
        </w:rPr>
        <w:t>地</w:t>
      </w:r>
      <w:r>
        <w:rPr>
          <w:rFonts w:hint="eastAsia" w:ascii="仿宋_GB2312" w:hAnsi="仿宋" w:eastAsia="仿宋_GB2312" w:cs="Times New Roman"/>
          <w:kern w:val="2"/>
          <w:sz w:val="32"/>
          <w:szCs w:val="32"/>
        </w:rPr>
        <w:t>块</w:t>
      </w:r>
      <w:r>
        <w:rPr>
          <w:rFonts w:hint="eastAsia" w:ascii="仿宋_GB2312" w:hAnsi="仿宋" w:eastAsia="仿宋_GB2312" w:cs="Times New Roman"/>
          <w:kern w:val="2"/>
          <w:sz w:val="32"/>
          <w:szCs w:val="32"/>
          <w:lang w:eastAsia="zh-CN"/>
        </w:rPr>
        <w:t>建设。</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hAnsi="仿宋_GB2312" w:cs="仿宋_GB2312"/>
          <w:kern w:val="2"/>
          <w:sz w:val="32"/>
          <w:szCs w:val="32"/>
          <w:lang w:val="en-US" w:eastAsia="zh-CN" w:bidi="ar-SA"/>
        </w:rPr>
      </w:pPr>
      <w:r>
        <w:rPr>
          <w:rFonts w:hint="eastAsia" w:ascii="仿宋_GB2312" w:hAnsi="仿宋" w:eastAsia="仿宋_GB2312" w:cs="Times New Roman"/>
          <w:kern w:val="2"/>
          <w:sz w:val="32"/>
          <w:szCs w:val="32"/>
          <w:lang w:eastAsia="zh-CN"/>
        </w:rPr>
        <w:t>（</w:t>
      </w:r>
      <w:r>
        <w:rPr>
          <w:rFonts w:hint="eastAsia" w:ascii="仿宋_GB2312" w:hAnsi="仿宋" w:eastAsia="仿宋_GB2312" w:cs="Times New Roman"/>
          <w:kern w:val="2"/>
          <w:sz w:val="32"/>
          <w:szCs w:val="32"/>
          <w:lang w:val="en-US" w:eastAsia="zh-CN"/>
        </w:rPr>
        <w:t>六</w:t>
      </w:r>
      <w:r>
        <w:rPr>
          <w:rFonts w:hint="eastAsia" w:ascii="仿宋_GB2312" w:hAnsi="仿宋" w:eastAsia="仿宋_GB2312" w:cs="Times New Roman"/>
          <w:kern w:val="2"/>
          <w:sz w:val="32"/>
          <w:szCs w:val="32"/>
          <w:lang w:eastAsia="zh-CN"/>
        </w:rPr>
        <w:t>）该新型产业项目中兼容的商业和住宅用地及地上物业的分割转让应满足新型产业用地项目实施监管协议书的要求。</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8392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1179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9123</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b/>
          <w:bCs/>
          <w:sz w:val="32"/>
          <w:szCs w:val="32"/>
          <w:u w:val="single"/>
          <w:lang w:val="en-US" w:eastAsia="zh-CN"/>
        </w:rPr>
        <w:t>肆亿壹</w:t>
      </w:r>
      <w:r>
        <w:rPr>
          <w:rFonts w:hint="eastAsia" w:ascii="仿宋_GB2312" w:hAnsi="仿宋_GB2312" w:eastAsia="仿宋_GB2312" w:cs="仿宋_GB2312"/>
          <w:b/>
          <w:bCs/>
          <w:sz w:val="32"/>
          <w:szCs w:val="32"/>
          <w:u w:val="single"/>
        </w:rPr>
        <w:t>仟</w:t>
      </w:r>
      <w:r>
        <w:rPr>
          <w:rFonts w:hint="eastAsia" w:ascii="仿宋_GB2312" w:hAnsi="仿宋_GB2312" w:eastAsia="仿宋_GB2312" w:cs="仿宋_GB2312"/>
          <w:b/>
          <w:bCs/>
          <w:sz w:val="32"/>
          <w:szCs w:val="32"/>
          <w:u w:val="single"/>
          <w:lang w:val="en-US" w:eastAsia="zh-CN"/>
        </w:rPr>
        <w:t>玖佰陆拾</w:t>
      </w:r>
      <w:r>
        <w:rPr>
          <w:rFonts w:hint="eastAsia" w:ascii="仿宋_GB2312" w:hAnsi="仿宋_GB2312" w:eastAsia="仿宋_GB2312" w:cs="仿宋_GB2312"/>
          <w:b/>
          <w:bCs/>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lang w:val="en-US" w:eastAsia="zh-CN"/>
        </w:rPr>
        <w:t>41960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,增价幅度为人民币</w:t>
      </w:r>
      <w:r>
        <w:rPr>
          <w:rFonts w:hint="eastAsia" w:ascii="仿宋_GB2312" w:hAnsi="仿宋_GB2312" w:eastAsia="仿宋_GB2312" w:cs="仿宋_GB2312"/>
          <w:b/>
          <w:bCs/>
          <w:sz w:val="32"/>
          <w:szCs w:val="32"/>
          <w:u w:val="single"/>
          <w:lang w:val="en-US" w:eastAsia="zh-CN"/>
        </w:rPr>
        <w:t>伍佰</w:t>
      </w:r>
      <w:r>
        <w:rPr>
          <w:rFonts w:hint="eastAsia" w:ascii="仿宋_GB2312" w:hAnsi="仿宋_GB2312" w:eastAsia="仿宋_GB2312" w:cs="仿宋_GB2312"/>
          <w:b/>
          <w:bCs/>
          <w:sz w:val="32"/>
          <w:szCs w:val="32"/>
          <w:u w:val="single"/>
        </w:rPr>
        <w:t>万元</w:t>
      </w:r>
      <w:r>
        <w:rPr>
          <w:rFonts w:hint="eastAsia" w:ascii="仿宋_GB2312" w:hAnsi="仿宋_GB2312" w:eastAsia="仿宋_GB2312" w:cs="仿宋_GB2312"/>
          <w:b/>
          <w:bCs/>
          <w:sz w:val="32"/>
          <w:szCs w:val="32"/>
          <w:u w:val="single"/>
          <w:lang w:val="en-US" w:eastAsia="zh-CN"/>
        </w:rPr>
        <w:t>整</w:t>
      </w:r>
      <w:r>
        <w:rPr>
          <w:rFonts w:hint="eastAsia" w:ascii="仿宋_GB2312" w:hAnsi="仿宋_GB2312" w:eastAsia="仿宋_GB2312" w:cs="仿宋_GB2312"/>
          <w:sz w:val="32"/>
          <w:szCs w:val="32"/>
        </w:rPr>
        <w:t>（大写）</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lang w:val="en-US" w:eastAsia="zh-CN"/>
        </w:rPr>
        <w:t>5</w:t>
      </w:r>
      <w:r>
        <w:rPr>
          <w:rFonts w:hint="eastAsia" w:ascii="仿宋_GB2312" w:hAnsi="仿宋_GB2312" w:eastAsia="仿宋_GB2312" w:cs="仿宋_GB2312"/>
          <w:b/>
          <w:bCs/>
          <w:sz w:val="32"/>
          <w:szCs w:val="32"/>
          <w:u w:val="single"/>
        </w:rPr>
        <w:t>0</w:t>
      </w:r>
      <w:r>
        <w:rPr>
          <w:rFonts w:hint="eastAsia" w:ascii="仿宋_GB2312" w:hAnsi="仿宋_GB2312" w:eastAsia="仿宋_GB2312" w:cs="仿宋_GB2312"/>
          <w:b/>
          <w:bCs/>
          <w:sz w:val="32"/>
          <w:szCs w:val="32"/>
          <w:u w:val="single"/>
          <w:lang w:val="en-US" w:eastAsia="zh-CN"/>
        </w:rPr>
        <w:t>0</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bookmarkStart w:id="8" w:name="_GoBack"/>
      <w:bookmarkEnd w:id="8"/>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捌仟叁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8392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壹仟壹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1179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9123</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   10、中国民生银行股份有限公司惠州分行。</w:t>
      </w:r>
    </w:p>
    <w:p>
      <w:pPr>
        <w:spacing w:line="560" w:lineRule="exact"/>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11、中国光大银行股份有限公司惠州分行。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（六）因该地块用地性质为新</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产业用地，竞得人须</w:t>
      </w:r>
      <w:r>
        <w:rPr>
          <w:rFonts w:hint="eastAsia" w:ascii="仿宋_GB2312" w:hAnsi="仿宋_GB2312" w:eastAsia="仿宋_GB2312" w:cs="仿宋_GB2312"/>
          <w:sz w:val="32"/>
          <w:szCs w:val="32"/>
          <w:lang w:eastAsia="zh-CN"/>
        </w:rPr>
        <w:t>接受《新型产业用地项目实施监管协议书》，并</w:t>
      </w:r>
      <w:r>
        <w:rPr>
          <w:rFonts w:hint="eastAsia" w:ascii="仿宋_GB2312" w:hAnsi="仿宋_GB2312" w:eastAsia="仿宋_GB2312" w:cs="仿宋_GB2312"/>
          <w:sz w:val="32"/>
          <w:szCs w:val="32"/>
        </w:rPr>
        <w:t>在签订《成交确认书》后5个工作日内与惠城区人民政府签订《新型产业用地项目实施监管协议书》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签订《新型产业用地项目实施监管协议书》后5个工作日内与出让人签订《国有建设用地使用权出让合同》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逾期自动解除《成交确认书》，定金不予返还。</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）网上挂牌成交后，竞得人应到我中心办理保证金转付地价款手续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竞得人签订《成交确认书》后，缴交的保证金中按成交价的10%转作定金，竞得人签订《出让合同》后，定金转作土地出让价款。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）竞得人签订《国有建设用地使用权网上挂牌成交确认书》后，竞买保证金抵作土地出让价款，成交价款余款按《出让合同》的约定支付。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B081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45D6E"/>
    <w:rsid w:val="00FA4B4C"/>
    <w:rsid w:val="030F1806"/>
    <w:rsid w:val="04AD7D35"/>
    <w:rsid w:val="054F511E"/>
    <w:rsid w:val="05EA5FFD"/>
    <w:rsid w:val="09D15044"/>
    <w:rsid w:val="0AE571CE"/>
    <w:rsid w:val="0CD05DB7"/>
    <w:rsid w:val="0F830A62"/>
    <w:rsid w:val="109A02CD"/>
    <w:rsid w:val="1102627C"/>
    <w:rsid w:val="111D633E"/>
    <w:rsid w:val="16283DCA"/>
    <w:rsid w:val="165329C7"/>
    <w:rsid w:val="1C0B2ADD"/>
    <w:rsid w:val="20061FAD"/>
    <w:rsid w:val="2608519C"/>
    <w:rsid w:val="296C67A2"/>
    <w:rsid w:val="2A8A6543"/>
    <w:rsid w:val="2B1F451B"/>
    <w:rsid w:val="2D6206D4"/>
    <w:rsid w:val="30853164"/>
    <w:rsid w:val="34405344"/>
    <w:rsid w:val="351709CA"/>
    <w:rsid w:val="38AB40F2"/>
    <w:rsid w:val="3D224C77"/>
    <w:rsid w:val="3D7C537B"/>
    <w:rsid w:val="3DBA5BC3"/>
    <w:rsid w:val="3E3E281B"/>
    <w:rsid w:val="3E5F4D8D"/>
    <w:rsid w:val="3ED04D2A"/>
    <w:rsid w:val="429F5202"/>
    <w:rsid w:val="4632212B"/>
    <w:rsid w:val="469C1F72"/>
    <w:rsid w:val="48462BF0"/>
    <w:rsid w:val="49EB09D0"/>
    <w:rsid w:val="4BB72777"/>
    <w:rsid w:val="4BCB0076"/>
    <w:rsid w:val="4E8B5DA1"/>
    <w:rsid w:val="575C2D03"/>
    <w:rsid w:val="5E9A7A16"/>
    <w:rsid w:val="5FF339BA"/>
    <w:rsid w:val="665E6123"/>
    <w:rsid w:val="67576BA1"/>
    <w:rsid w:val="68C033F6"/>
    <w:rsid w:val="69CC62F3"/>
    <w:rsid w:val="6C1266B9"/>
    <w:rsid w:val="6DB17AF1"/>
    <w:rsid w:val="71772A86"/>
    <w:rsid w:val="77EA31D0"/>
    <w:rsid w:val="7A05482A"/>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2020-06-05T08:50:00Z</cp:lastPrinted>
  <dcterms:modified xsi:type="dcterms:W3CDTF">2020-06-08T00:40:32Z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