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13</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（二）地块位置：惠州市惠城区</w:t>
      </w:r>
      <w:r>
        <w:rPr>
          <w:rFonts w:hint="eastAsia" w:ascii="仿宋_GB2312" w:hAnsi="仿宋_GB2312" w:eastAsia="仿宋_GB2312" w:cs="仿宋_GB2312"/>
          <w:sz w:val="32"/>
          <w:szCs w:val="32"/>
          <w:lang w:val="en-US" w:eastAsia="zh-CN"/>
        </w:rPr>
        <w:t>马安中心区</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val="en-US" w:eastAsia="zh-CN"/>
        </w:rPr>
        <w:t>JD17-01-01地块</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 </w:t>
      </w:r>
      <w:r>
        <w:rPr>
          <w:rFonts w:hint="eastAsia" w:ascii="仿宋_GB2312" w:hAnsi="仿宋" w:eastAsia="仿宋_GB2312" w:cs="仿宋_GB2312"/>
          <w:sz w:val="32"/>
          <w:szCs w:val="32"/>
        </w:rPr>
        <w:t>PB20</w:t>
      </w:r>
      <w:r>
        <w:rPr>
          <w:rFonts w:hint="eastAsia" w:ascii="仿宋_GB2312" w:hAnsi="仿宋" w:eastAsia="仿宋_GB2312" w:cs="仿宋_GB2312"/>
          <w:sz w:val="32"/>
          <w:szCs w:val="32"/>
          <w:lang w:val="en-US" w:eastAsia="zh-CN"/>
        </w:rPr>
        <w:t>190112</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highlight w:val="none"/>
        </w:rPr>
        <w:t>五）宗地使用</w:t>
      </w:r>
      <w:r>
        <w:rPr>
          <w:rFonts w:hint="eastAsia" w:ascii="仿宋_GB2312" w:hAnsi="仿宋_GB2312" w:eastAsia="仿宋_GB2312" w:cs="仿宋_GB2312"/>
          <w:sz w:val="32"/>
          <w:szCs w:val="32"/>
        </w:rPr>
        <w:t>权面积为：</w:t>
      </w:r>
      <w:r>
        <w:rPr>
          <w:rFonts w:hint="eastAsia" w:ascii="仿宋_GB2312" w:hAnsi="仿宋_GB2312" w:eastAsia="仿宋_GB2312" w:cs="仿宋_GB2312"/>
          <w:sz w:val="32"/>
          <w:szCs w:val="32"/>
          <w:lang w:val="en-US" w:eastAsia="zh-CN"/>
        </w:rPr>
        <w:t>90881.98</w:t>
      </w:r>
      <w:r>
        <w:rPr>
          <w:rFonts w:hint="eastAsia" w:ascii="仿宋_GB2312" w:hAnsi="仿宋_GB2312" w:eastAsia="仿宋_GB2312" w:cs="仿宋_GB2312"/>
          <w:sz w:val="32"/>
          <w:szCs w:val="32"/>
        </w:rPr>
        <w:t>平方米；</w:t>
      </w:r>
    </w:p>
    <w:p>
      <w:r>
        <w:rPr>
          <w:rFonts w:hint="eastAsia" w:ascii="仿宋_GB2312" w:hAnsi="仿宋_GB2312" w:eastAsia="仿宋_GB2312" w:cs="仿宋_GB2312"/>
          <w:sz w:val="32"/>
          <w:szCs w:val="32"/>
        </w:rPr>
        <w:t xml:space="preserve">   （六）计算指标用地面积为：</w:t>
      </w:r>
      <w:r>
        <w:rPr>
          <w:rFonts w:hint="eastAsia" w:ascii="仿宋_GB2312" w:hAnsi="仿宋_GB2312" w:eastAsia="仿宋_GB2312" w:cs="仿宋_GB2312"/>
          <w:sz w:val="32"/>
          <w:szCs w:val="32"/>
          <w:lang w:val="en-US" w:eastAsia="zh-CN"/>
        </w:rPr>
        <w:t>110870.72</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（七）计容积率建筑面积为：≤</w:t>
      </w:r>
      <w:r>
        <w:rPr>
          <w:rFonts w:hint="eastAsia" w:ascii="仿宋_GB2312" w:hAnsi="仿宋_GB2312" w:eastAsia="仿宋_GB2312" w:cs="仿宋_GB2312"/>
          <w:sz w:val="32"/>
          <w:szCs w:val="32"/>
          <w:lang w:val="en-US" w:eastAsia="zh-CN"/>
        </w:rPr>
        <w:t>343700平方米(其中：商业建筑面积≤10%，配套设施建筑面积≥3000㎡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（八）机动车停车位: </w:t>
      </w:r>
      <w:r>
        <w:rPr>
          <w:rFonts w:hint="eastAsia" w:ascii="仿宋_GB2312" w:hAnsi="仿宋_GB2312" w:eastAsia="仿宋_GB2312" w:cs="仿宋_GB2312"/>
          <w:sz w:val="32"/>
          <w:szCs w:val="32"/>
          <w:lang w:val="en-US" w:eastAsia="zh-CN"/>
        </w:rPr>
        <w:t>每100㎡计容积率面积≥1个</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（九）土地用途为：</w:t>
      </w:r>
      <w:r>
        <w:rPr>
          <w:rFonts w:hint="default" w:ascii="仿宋_GB2312" w:hAnsi="仿宋_GB2312" w:eastAsia="仿宋_GB2312" w:cs="仿宋_GB2312"/>
          <w:sz w:val="32"/>
          <w:szCs w:val="32"/>
          <w:lang w:eastAsia="zh-CN"/>
        </w:rPr>
        <w:t>住宅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（十）土地使用权出让年期为：住宅用地70年，商服用地40年；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（十一）容积率为：≤</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 xml:space="preserve">；  </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（十二）</w:t>
      </w:r>
      <w:r>
        <w:rPr>
          <w:rFonts w:hint="eastAsia" w:ascii="仿宋_GB2312" w:eastAsia="仿宋_GB2312"/>
          <w:sz w:val="32"/>
          <w:szCs w:val="32"/>
        </w:rPr>
        <w:t>建筑密度为：</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22</w:t>
      </w:r>
      <w:r>
        <w:rPr>
          <w:rFonts w:hint="eastAsia" w:ascii="仿宋_GB2312" w:eastAsia="仿宋_GB2312" w:cs="Times New Roman"/>
          <w:sz w:val="32"/>
          <w:szCs w:val="32"/>
        </w:rPr>
        <w:t>%；</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p>
    <w:p>
      <w:pPr>
        <w:rPr>
          <w:rFonts w:hint="eastAsia" w:ascii="仿宋_GB2312" w:eastAsia="仿宋_GB2312" w:cs="Times New Roman"/>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default" w:ascii="仿宋_GB2312" w:eastAsia="仿宋_GB2312" w:cs="Times New Roman"/>
          <w:sz w:val="32"/>
          <w:szCs w:val="32"/>
        </w:rPr>
        <w:t>住宅和商业及配套设施</w:t>
      </w:r>
      <w:r>
        <w:rPr>
          <w:rFonts w:hint="eastAsia" w:ascii="仿宋_GB2312" w:eastAsia="仿宋_GB2312" w:cs="Times New Roman"/>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）竞得人在缴清地价款后一个月内办理交地手续，凭《交地确认书》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hint="eastAsia"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tabs>
          <w:tab w:val="left" w:pos="3388"/>
        </w:tabs>
        <w:spacing w:line="560" w:lineRule="exact"/>
        <w:ind w:firstLine="640" w:firstLineChars="200"/>
        <w:jc w:val="left"/>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（一）开发投资总额不少于312800万元（含地价，不含地价溢价部分）。</w:t>
      </w:r>
    </w:p>
    <w:p>
      <w:pPr>
        <w:bidi w:val="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（二）土地成交价款须以人民币支付，竞得人须在签订《出让合同》之日起一个月内缴交50%土地成交价款，剩余土地成交价款在2020年12月30日前缴清。</w:t>
      </w:r>
    </w:p>
    <w:p>
      <w:pPr>
        <w:bidi w:val="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（三）该地权利清晰，安置补偿落实到位，没有法律经济纠纷，具备动工开发所必须的基本条件。</w:t>
      </w:r>
    </w:p>
    <w:p>
      <w:pPr>
        <w:bidi w:val="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（四）该地范围内有现状高压线穿过，政府正在实施迁移，预计2020年底完成。</w:t>
      </w:r>
    </w:p>
    <w:p>
      <w:pPr>
        <w:pStyle w:val="2"/>
        <w:widowControl w:val="0"/>
        <w:spacing w:line="56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w:t>
      </w:r>
      <w:r>
        <w:rPr>
          <w:rFonts w:hint="eastAsia" w:hAnsi="仿宋_GB2312" w:cs="仿宋_GB2312"/>
          <w:kern w:val="2"/>
          <w:sz w:val="32"/>
          <w:szCs w:val="32"/>
          <w:lang w:val="en-US" w:eastAsia="zh-CN" w:bidi="ar-SA"/>
        </w:rPr>
        <w:t>五</w:t>
      </w:r>
      <w:r>
        <w:rPr>
          <w:rFonts w:hint="eastAsia" w:ascii="仿宋_GB2312" w:hAnsi="仿宋_GB2312" w:eastAsia="仿宋_GB2312" w:cs="仿宋_GB2312"/>
          <w:kern w:val="2"/>
          <w:sz w:val="32"/>
          <w:szCs w:val="32"/>
          <w:lang w:val="en-US" w:eastAsia="zh-CN" w:bidi="ar-SA"/>
        </w:rPr>
        <w:t>）竞得人在用地红线内开发建设必须符合城市规划要求，必须按《告知书》（案卷编号：PB20</w:t>
      </w:r>
      <w:r>
        <w:rPr>
          <w:rFonts w:hint="eastAsia" w:hAnsi="仿宋_GB2312" w:cs="仿宋_GB2312"/>
          <w:kern w:val="2"/>
          <w:sz w:val="32"/>
          <w:szCs w:val="32"/>
          <w:lang w:val="en-US" w:eastAsia="zh-CN" w:bidi="ar-SA"/>
        </w:rPr>
        <w:t>190112</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hAnsi="仿宋_GB2312" w:cs="仿宋_GB2312"/>
          <w:kern w:val="2"/>
          <w:sz w:val="32"/>
          <w:szCs w:val="32"/>
          <w:lang w:val="en-US" w:eastAsia="zh-CN" w:bidi="ar-SA"/>
        </w:rPr>
        <w:t>。</w:t>
      </w:r>
    </w:p>
    <w:p>
      <w:pPr>
        <w:bidi w:val="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（六）取得JD17-01-01地块土地使用权人负责JD17-01地块内的密路网（包括雨水管和污水管）建设，建成后无偿交给市政府相关部门，并开放给公众使用。</w:t>
      </w:r>
    </w:p>
    <w:p>
      <w:pPr>
        <w:bidi w:val="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七）取得JD17-01-01地块土地使用权人应按照《规划设计条件告知书》的规划要求和教育部门提出的建设标准承担JD17-01-02地块幼儿园的建设，建成后无偿交给教育部门使用。幼儿园应与项目同步规划、同步建设、同步实施，JD17-01-01地块如分期建设，幼儿园须纳入首期工程；幼儿园地下空间由JD17-01-01用地的土地使用权者负责配建。</w:t>
      </w:r>
    </w:p>
    <w:p>
      <w:pPr>
        <w:bidi w:val="0"/>
        <w:ind w:firstLine="640" w:firstLineChars="200"/>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（八）取得JD17-01-01地块土地使用权人应按照《规划设计条件告知书》的规划要求配建相应的配套设施。</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highlight w:val="none"/>
        </w:rPr>
        <w:t>中华人</w:t>
      </w:r>
      <w:r>
        <w:rPr>
          <w:rFonts w:hint="eastAsia" w:ascii="仿宋_GB2312" w:hAnsi="仿宋_GB2312" w:eastAsia="仿宋_GB2312" w:cs="仿宋_GB2312"/>
          <w:kern w:val="0"/>
          <w:sz w:val="32"/>
          <w:szCs w:val="32"/>
        </w:rPr>
        <w:t>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38500</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5449</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42234</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壹拾玖亿贰</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伍佰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192500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u w:val="single"/>
          <w:lang w:val="en-US" w:eastAsia="zh-CN"/>
        </w:rPr>
        <w:t>仟</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3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叁亿捌仟伍</w:t>
      </w:r>
      <w:r>
        <w:rPr>
          <w:rFonts w:hint="eastAsia" w:ascii="仿宋_GB2312" w:hAnsi="仿宋_GB2312" w:eastAsia="仿宋_GB2312" w:cs="仿宋_GB2312"/>
          <w:sz w:val="32"/>
          <w:szCs w:val="32"/>
          <w:u w:val="single"/>
        </w:rPr>
        <w:t>佰万元整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38500</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伍仟</w:t>
      </w:r>
      <w:r>
        <w:rPr>
          <w:rFonts w:hint="eastAsia" w:ascii="仿宋_GB2312" w:hAnsi="仿宋_GB2312" w:eastAsia="仿宋_GB2312" w:cs="仿宋_GB2312"/>
          <w:sz w:val="32"/>
          <w:szCs w:val="32"/>
          <w:u w:val="single"/>
        </w:rPr>
        <w:t>肆佰肆拾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5449</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rPr>
        <w:t>肆</w:t>
      </w:r>
      <w:r>
        <w:rPr>
          <w:rFonts w:hint="eastAsia" w:ascii="仿宋_GB2312" w:hAnsi="仿宋_GB2312" w:eastAsia="仿宋_GB2312" w:cs="仿宋_GB2312"/>
          <w:sz w:val="32"/>
          <w:szCs w:val="32"/>
          <w:u w:val="single"/>
          <w:lang w:val="en-US" w:eastAsia="zh-CN"/>
        </w:rPr>
        <w:t>亿贰</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叁</w:t>
      </w:r>
      <w:r>
        <w:rPr>
          <w:rFonts w:hint="eastAsia" w:ascii="仿宋_GB2312" w:hAnsi="仿宋_GB2312" w:eastAsia="仿宋_GB2312" w:cs="仿宋_GB2312"/>
          <w:sz w:val="32"/>
          <w:szCs w:val="32"/>
          <w:u w:val="single"/>
        </w:rPr>
        <w:t>拾肆万元整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42234</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ascii="仿宋_GB2312" w:eastAsia="仿宋_GB2312"/>
          <w:sz w:val="32"/>
          <w:szCs w:val="32"/>
        </w:rPr>
      </w:pPr>
      <w:r>
        <w:rPr>
          <w:rFonts w:hint="eastAsia" w:ascii="仿宋_GB2312" w:eastAsia="仿宋_GB2312"/>
          <w:sz w:val="32"/>
          <w:szCs w:val="32"/>
        </w:rPr>
        <w:t xml:space="preserve">   10、中国民生银行股份有限公司惠州分行。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联合竞买协议要约定联合各方的权利和义务。必须明确表达参与联合竞买的各方、参与竞买的代表人、联合各方的出资比例和签订《出让合同》时的受让人。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480" w:firstLineChars="14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29</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0F1806"/>
    <w:rsid w:val="04AD7D35"/>
    <w:rsid w:val="054F511E"/>
    <w:rsid w:val="067375EB"/>
    <w:rsid w:val="0F830A62"/>
    <w:rsid w:val="109A02CD"/>
    <w:rsid w:val="20061FAD"/>
    <w:rsid w:val="296C67A2"/>
    <w:rsid w:val="2A8A6543"/>
    <w:rsid w:val="2B1F451B"/>
    <w:rsid w:val="30853164"/>
    <w:rsid w:val="30C12D39"/>
    <w:rsid w:val="34405344"/>
    <w:rsid w:val="3DBA5BC3"/>
    <w:rsid w:val="3E3E281B"/>
    <w:rsid w:val="3EA01A57"/>
    <w:rsid w:val="4632212B"/>
    <w:rsid w:val="563B54B0"/>
    <w:rsid w:val="575C2D03"/>
    <w:rsid w:val="663411F1"/>
    <w:rsid w:val="67576BA1"/>
    <w:rsid w:val="68C033F6"/>
    <w:rsid w:val="69CC62F3"/>
    <w:rsid w:val="71772A86"/>
    <w:rsid w:val="74497C20"/>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kern w:val="2"/>
      <w:sz w:val="18"/>
      <w:szCs w:val="18"/>
    </w:rPr>
  </w:style>
  <w:style w:type="character" w:customStyle="1" w:styleId="8">
    <w:name w:val="页脚 Char"/>
    <w:basedOn w:val="5"/>
    <w:link w:val="3"/>
    <w:uiPriority w:val="99"/>
    <w:rPr>
      <w:rFonts w:ascii="Calibri" w:hAnsi="Calibri"/>
      <w:kern w:val="2"/>
      <w:sz w:val="18"/>
      <w:szCs w:val="22"/>
    </w:rPr>
  </w:style>
  <w:style w:type="character" w:customStyle="1" w:styleId="9">
    <w:name w:val="正文文本缩进 Char"/>
    <w:basedOn w:val="5"/>
    <w:link w:val="2"/>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5</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2020-04-29T09:06:00Z</cp:lastPrinted>
  <dcterms:modified xsi:type="dcterms:W3CDTF">2020-04-30T02:17:12Z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