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惠州市国有建设用地使用权网上</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挂牌出让须知</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055</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招标拍卖挂牌出让国有建设用地使用权规定》以及《招标拍卖挂牌出让国有土地使用权规范》等有关规定，经惠州市人民政府批准，受惠州市惠城区自然资源局委托，本中心以网上挂牌交易方式出让下列国有建设用地使用权。</w:t>
      </w:r>
      <w:bookmarkStart w:id="0" w:name="99"/>
      <w:bookmarkEnd w:id="0"/>
    </w:p>
    <w:p>
      <w:pPr>
        <w:ind w:firstLine="643" w:firstLineChars="200"/>
      </w:pPr>
      <w:r>
        <w:rPr>
          <w:rFonts w:hint="eastAsia" w:ascii="仿宋_GB2312" w:hAnsi="仿宋_GB2312" w:eastAsia="仿宋_GB2312" w:cs="仿宋_GB2312"/>
          <w:b/>
          <w:bCs/>
          <w:sz w:val="32"/>
          <w:szCs w:val="32"/>
        </w:rPr>
        <w:t>一、本次国有建设用地使用权网上挂牌出让的出让人为惠州市惠城区自然资源局，具体组织实施由惠州市公共资源交易中心承办。</w:t>
      </w:r>
      <w:bookmarkStart w:id="1" w:name="100"/>
      <w:bookmarkEnd w:id="1"/>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（二）地块位置</w:t>
      </w:r>
      <w:r>
        <w:rPr>
          <w:rFonts w:hint="eastAsia" w:ascii="仿宋_GB2312" w:hAnsi="仿宋_GB2312" w:eastAsia="仿宋_GB2312" w:cs="仿宋_GB2312"/>
          <w:sz w:val="32"/>
          <w:szCs w:val="32"/>
          <w:lang w:val="en-US" w:eastAsia="zh-CN"/>
        </w:rPr>
        <w:t>：惠州市惠城区高新科技产业园南部片区；</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（三）规划编号</w:t>
      </w:r>
      <w:r>
        <w:rPr>
          <w:rFonts w:hint="eastAsia" w:ascii="仿宋_GB2312" w:hAnsi="仿宋_GB2312" w:eastAsia="仿宋_GB2312" w:cs="仿宋_GB2312"/>
          <w:sz w:val="32"/>
          <w:szCs w:val="32"/>
          <w:lang w:val="en-US" w:eastAsia="zh-CN"/>
        </w:rPr>
        <w:t>：B-11-01；</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（四）地块范围：平面界址点以宗地图为准，宗地竖向界限以《</w:t>
      </w:r>
      <w:r>
        <w:rPr>
          <w:rFonts w:hint="eastAsia" w:ascii="仿宋_GB2312" w:hAnsi="仿宋_GB2312" w:eastAsia="仿宋_GB2312" w:cs="仿宋_GB2312"/>
          <w:sz w:val="32"/>
          <w:szCs w:val="32"/>
          <w:lang w:val="en-US" w:eastAsia="zh-CN"/>
        </w:rPr>
        <w:t>规划条件告知书</w:t>
      </w:r>
      <w:r>
        <w:rPr>
          <w:rFonts w:hint="eastAsia" w:ascii="仿宋_GB2312" w:hAnsi="仿宋_GB2312" w:eastAsia="仿宋_GB2312" w:cs="仿宋_GB2312"/>
          <w:sz w:val="32"/>
          <w:szCs w:val="32"/>
        </w:rPr>
        <w:t>》（案卷编号：</w:t>
      </w:r>
      <w:r>
        <w:rPr>
          <w:rFonts w:hint="eastAsia" w:ascii="仿宋_GB2312" w:hAnsi="仿宋_GB2312" w:eastAsia="仿宋_GB2312" w:cs="仿宋_GB2312"/>
          <w:sz w:val="32"/>
          <w:szCs w:val="32"/>
          <w:lang w:val="en-US" w:eastAsia="zh-CN"/>
        </w:rPr>
        <w:t>HCPB20200013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以下简称“《告知书》”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规定为准；</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（五）宗地使用权面积</w:t>
      </w:r>
      <w:r>
        <w:rPr>
          <w:rFonts w:hint="eastAsia" w:ascii="仿宋_GB2312" w:hAnsi="仿宋_GB2312" w:eastAsia="仿宋_GB2312" w:cs="仿宋_GB2312"/>
          <w:sz w:val="32"/>
          <w:szCs w:val="32"/>
          <w:lang w:val="en-US" w:eastAsia="zh-CN"/>
        </w:rPr>
        <w:t>为：10131.01平方米；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（六）计算指标用地面积为：12001平方米；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（七）计容积率建筑面积为：19201-42003</w:t>
      </w:r>
      <w:r>
        <w:rPr>
          <w:rFonts w:hint="default" w:ascii="仿宋_GB2312" w:hAnsi="仿宋_GB2312" w:eastAsia="仿宋_GB2312" w:cs="仿宋_GB2312"/>
          <w:sz w:val="32"/>
          <w:szCs w:val="32"/>
          <w:lang w:val="en-US" w:eastAsia="zh-CN"/>
        </w:rPr>
        <w:t>平方米</w:t>
      </w:r>
      <w:r>
        <w:rPr>
          <w:rFonts w:hint="eastAsia" w:ascii="仿宋_GB2312" w:hAnsi="仿宋_GB2312" w:eastAsia="仿宋_GB2312" w:cs="仿宋_GB2312"/>
          <w:sz w:val="32"/>
          <w:szCs w:val="32"/>
          <w:lang w:val="en-US" w:eastAsia="zh-CN"/>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（八）土地用途为：</w:t>
      </w:r>
      <w:r>
        <w:rPr>
          <w:rFonts w:hint="eastAsia" w:ascii="仿宋_GB2312" w:hAnsi="仿宋_GB2312" w:eastAsia="仿宋_GB2312" w:cs="仿宋_GB2312"/>
          <w:sz w:val="32"/>
          <w:szCs w:val="32"/>
          <w:lang w:val="en-US" w:eastAsia="zh-CN"/>
        </w:rPr>
        <w:t>一类工业用地；</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（九）土地使用权出让年期为：</w:t>
      </w:r>
      <w:r>
        <w:rPr>
          <w:rFonts w:hint="eastAsia" w:ascii="仿宋_GB2312" w:hAnsi="仿宋_GB2312" w:eastAsia="仿宋_GB2312" w:cs="仿宋_GB2312"/>
          <w:sz w:val="32"/>
          <w:szCs w:val="32"/>
          <w:lang w:val="en-US" w:eastAsia="zh-CN"/>
        </w:rPr>
        <w:t>工业</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0年；</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（十）容积率</w:t>
      </w:r>
      <w:r>
        <w:rPr>
          <w:rFonts w:hint="eastAsia" w:ascii="仿宋_GB2312" w:hAnsi="仿宋_GB2312" w:eastAsia="仿宋_GB2312" w:cs="仿宋_GB2312"/>
          <w:sz w:val="32"/>
          <w:szCs w:val="32"/>
          <w:lang w:val="en-US" w:eastAsia="zh-CN"/>
        </w:rPr>
        <w:t>为：1.6-3.5；</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（十一）绿地率为:</w:t>
      </w:r>
      <w:r>
        <w:rPr>
          <w:rFonts w:hint="eastAsia" w:ascii="仿宋_GB2312" w:hAnsi="仿宋_GB2312" w:eastAsia="仿宋_GB2312" w:cs="仿宋_GB2312"/>
          <w:sz w:val="32"/>
          <w:szCs w:val="32"/>
          <w:lang w:val="en-US" w:eastAsia="zh-CN"/>
        </w:rPr>
        <w:t xml:space="preserve"> 15-20%;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（十二）建筑密度为</w:t>
      </w: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）机动车停车位配建标准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行政办公及生活服务设施每100平方米计容积率建筑面积≥1个，厂房每100平方米计容积率建筑面积≥0.2个</w:t>
      </w:r>
      <w:r>
        <w:rPr>
          <w:rFonts w:hint="eastAsia" w:ascii="仿宋_GB2312" w:hAnsi="仿宋_GB2312" w:eastAsia="仿宋_GB2312" w:cs="仿宋_GB2312"/>
          <w:sz w:val="32"/>
          <w:szCs w:val="32"/>
          <w:lang w:val="en-US" w:eastAsia="zh-CN"/>
        </w:rPr>
        <w:t>；</w:t>
      </w:r>
    </w:p>
    <w:p>
      <w:pPr>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产业类型：通信设备、计算机及其他电子设备制造业用地；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）动工及竣工时间：该地块的动工时间为地块交付之日起一年内，竣工时间为动工之日起三年内（因不可抗拒因素除外）；</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）本地块交付时间为《国有土地使用权出让合同》签订之日。</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14000</w:t>
      </w:r>
      <w:r>
        <w:rPr>
          <w:rFonts w:hint="eastAsia" w:ascii="仿宋_GB2312" w:hAnsi="仿宋_GB2312" w:eastAsia="仿宋_GB2312" w:cs="仿宋_GB2312"/>
          <w:sz w:val="32"/>
          <w:szCs w:val="32"/>
        </w:rPr>
        <w:t>万元（含地价）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）竞买人须提交惠城区发改局出具的与该宗地块规划确定的产业类型一致的优先发展产业项目文件。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）竞得人在用地红线内开发建设必须符合城市规划要求，必须按上述建设方案的要求进行规划设计。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项目规划建设方案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报总平面图的主要技术经济指标：规划布局2栋厂房、1栋综合楼，计算指标用地面积12001平方米，建筑层数地上最高5层（建筑高度最高23.9米，使用功能为厂房），计容积率总建筑面积24638平方米（其中行政办公配套建筑面积4878平方米，占比19.8%），容积率2.05，建筑密度39.3%（其中行政办公设施用地面积840平方米，占比6.99%），绿地率15%，停车位50个（地上50个），各项指标满足《建设用地规划设计条件》（HCPB20200013)要求，原则上建设单位须按照纳入出让条件的建设工程设计方</w:t>
      </w:r>
      <w:bookmarkStart w:id="3" w:name="_GoBack"/>
      <w:bookmarkEnd w:id="3"/>
      <w:r>
        <w:rPr>
          <w:rFonts w:hint="eastAsia" w:ascii="仿宋_GB2312" w:hAnsi="仿宋_GB2312" w:eastAsia="仿宋_GB2312" w:cs="仿宋_GB2312"/>
          <w:sz w:val="32"/>
          <w:szCs w:val="32"/>
          <w:lang w:val="en-US" w:eastAsia="zh-CN"/>
        </w:rPr>
        <w:t>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2、建设项目平面布置图详见附件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招商条件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投资强度不低于</w:t>
      </w:r>
      <w:r>
        <w:rPr>
          <w:rFonts w:hint="eastAsia" w:ascii="仿宋_GB2312" w:hAnsi="仿宋_GB2312" w:eastAsia="仿宋_GB2312" w:cs="仿宋_GB2312"/>
          <w:sz w:val="32"/>
          <w:szCs w:val="32"/>
          <w:lang w:val="en-US" w:eastAsia="zh-CN"/>
        </w:rPr>
        <w:t>11666元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，土地产出率（营业收入）不低于</w:t>
      </w:r>
      <w:r>
        <w:rPr>
          <w:rFonts w:hint="eastAsia" w:ascii="仿宋_GB2312" w:hAnsi="仿宋_GB2312" w:eastAsia="仿宋_GB2312" w:cs="仿宋_GB2312"/>
          <w:sz w:val="32"/>
          <w:szCs w:val="32"/>
          <w:lang w:val="en-US" w:eastAsia="zh-CN"/>
        </w:rPr>
        <w:t>19166</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/年，税收产出不低于</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/年。其中，土地产出率及税收产出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在项目投产后3年内逐年考核，3年内的平均值不得低于上述标准。</w:t>
      </w:r>
      <w:r>
        <w:rPr>
          <w:rFonts w:hint="eastAsia" w:ascii="仿宋_GB2312" w:hAnsi="仿宋_GB2312" w:eastAsia="仿宋_GB2312" w:cs="仿宋_GB2312"/>
          <w:sz w:val="32"/>
          <w:szCs w:val="32"/>
          <w:lang w:eastAsia="zh-CN"/>
        </w:rPr>
        <w:t>项目须在正式签订建设用地交地确认书后</w:t>
      </w:r>
      <w:r>
        <w:rPr>
          <w:rFonts w:hint="eastAsia" w:ascii="仿宋_GB2312" w:hAnsi="仿宋_GB2312" w:eastAsia="仿宋_GB2312" w:cs="仿宋_GB2312"/>
          <w:sz w:val="32"/>
          <w:szCs w:val="32"/>
          <w:lang w:val="en-US" w:eastAsia="zh-CN"/>
        </w:rPr>
        <w:t>1个月内动工建设，2年内竣工。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）竞得人在签订《成交确认书》前，须与惠城区高新科技产业园管委会签订《惠城区工业项目土地建设和使用监管协议书》，并由惠城区高新科技产业园管委会对项目用地实施批后监管。</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五、竞买资格及要求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中华人民共和国境内外的法人和其他组织（除法律法规另有规定外），均可申请参加竞买。申请人可以单独申请，也可以联合申请。申请人还应具备下列条件：</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按时，足额交纳竞买保证金。该宗地竞买保证金为</w:t>
      </w:r>
      <w:r>
        <w:rPr>
          <w:rFonts w:hint="eastAsia" w:ascii="仿宋_GB2312" w:hAnsi="仿宋_GB2312" w:eastAsia="仿宋_GB2312" w:cs="仿宋_GB2312"/>
          <w:sz w:val="32"/>
          <w:szCs w:val="32"/>
          <w:lang w:val="en-US" w:eastAsia="zh-CN"/>
        </w:rPr>
        <w:t>363</w:t>
      </w:r>
      <w:r>
        <w:rPr>
          <w:rFonts w:hint="eastAsia" w:ascii="仿宋_GB2312" w:hAnsi="仿宋_GB2312" w:eastAsia="仿宋_GB2312" w:cs="仿宋_GB2312"/>
          <w:sz w:val="32"/>
          <w:szCs w:val="32"/>
        </w:rPr>
        <w:t>万元民币。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）申请人及其控股股东存在下列行为之一的，不得参与上述地块竞买活动：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7、存在其它被禁止竞买土地行为的。</w:t>
      </w:r>
    </w:p>
    <w:p>
      <w:pPr>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六、违约及处理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竞得人缴交的保证金中按成交价的20%转作定金.竞得人有下列行为之一的，视为违约，取消竞得人资格，定金不予退还,并由有关部门依法处理;造成损失的，竞得人还应依法承担赔偿责任：</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（一）不符合竞买资格条件的。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（二）采取行贿、恶意串通等非法手段竞得的。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（三）竞得人以其他非法手段竞得的。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（四）竞得人逾期或拒绝签订《成交确认书》的。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（五）竞得人逾期或拒绝签订《出让合同》的。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（六）不按本须知规定提供有关纸质文件材料，或提供虚假文件材料、隐瞒重要事实，引起交易纠纷的。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（七）构成违约责任的其他行为。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壹仟贰佰壹拾万元整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1210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伍拾</w:t>
      </w:r>
      <w:r>
        <w:rPr>
          <w:rFonts w:hint="eastAsia" w:ascii="仿宋_GB2312" w:hAnsi="仿宋_GB2312" w:eastAsia="仿宋_GB2312" w:cs="仿宋_GB2312"/>
          <w:sz w:val="32"/>
          <w:szCs w:val="32"/>
        </w:rPr>
        <w:t>万元（大写）（￥</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万元）。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八、本次网上挂牌出让活动有关时间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网上挂牌时间为10个工作日，不包括法定节假日。具体如下：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（一）网上挂牌起始时间：202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日10时。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（三）网上挂牌交纳保证金截止时间：202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（四）网上挂牌报价时间：网上挂牌起止时间内。</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1、《惠州市国有建设用地使用权和矿业权电子挂牌交易规则》；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2、《惠州市国有建设用地使用权网上挂牌交易操作说明》；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3、网上挂牌出让公告；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4、挂牌出让地块现状图；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5、惠州市国有建设用地使用权网上挂牌出让须知；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6、竞买申请书（样本）；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7、惠州市公共资源交易中心土地与矿业网上挂牌交易成交通知书（样本）；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8、《国有建设用地使用权出让合同》（以下简称“出让合同”）样本；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10、附件。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十二、竞买保证金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ind w:left="17" w:leftChars="8" w:firstLine="617" w:firstLineChars="193"/>
        <w:rPr>
          <w:rFonts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时整，竞买保证金为人民币</w:t>
      </w:r>
      <w:r>
        <w:rPr>
          <w:rFonts w:hint="eastAsia" w:ascii="仿宋_GB2312" w:hAnsi="仿宋_GB2312" w:eastAsia="仿宋_GB2312" w:cs="仿宋_GB2312"/>
          <w:sz w:val="32"/>
          <w:szCs w:val="32"/>
          <w:u w:val="single"/>
          <w:lang w:val="en-US" w:eastAsia="zh-CN"/>
        </w:rPr>
        <w:t>叁</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叁</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363</w:t>
      </w:r>
      <w:r>
        <w:rPr>
          <w:rFonts w:hint="eastAsia" w:ascii="仿宋_GB2312" w:hAnsi="仿宋_GB2312" w:eastAsia="仿宋_GB2312" w:cs="仿宋_GB2312"/>
          <w:sz w:val="32"/>
          <w:szCs w:val="32"/>
        </w:rPr>
        <w:t>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（四）跨地区或跨行转账的竞买人，需预足资金的在途时间，以免影响竞买人及时取得竞买资格。</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（五）竞买保证金到账时间以网上挂牌交易系统颁发《保证金到账通知书》为准。</w:t>
      </w:r>
    </w:p>
    <w:p>
      <w:pPr>
        <w:ind w:left="0" w:leftChars="0" w:firstLine="537" w:firstLineChars="16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（六）竞买保证金开户单位：惠州市公共资源交易中</w:t>
      </w:r>
      <w:r>
        <w:rPr>
          <w:rFonts w:hint="eastAsia" w:ascii="仿宋_GB2312" w:hAnsi="仿宋_GB2312" w:eastAsia="仿宋_GB2312" w:cs="仿宋_GB2312"/>
          <w:sz w:val="32"/>
          <w:szCs w:val="32"/>
          <w:lang w:val="en-US" w:eastAsia="zh-CN"/>
        </w:rPr>
        <w:t>心</w:t>
      </w:r>
    </w:p>
    <w:p>
      <w:pPr>
        <w:ind w:left="0" w:leftChars="0" w:firstLine="537" w:firstLineChars="16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（七）开户银行：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1、中国建设银行惠州广场支行。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2、中国银行惠州分行。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3、中国工商银行股份有限公司惠州富力国际中心支行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4、中国农业银行惠州分行。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5、中信银行股份有限公司惠州分行。(备注:中信银行股份有限公司惠州分行本行转帐须到银行柜面办理)。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6、惠州市农村商业银行股份有限公司惠城支行。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7、交通银行惠州分行。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中国光大银行股份有限公司惠州分行。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（八）保证金账号：网上挂牌交易系统随机产生子账号。</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十三、网上报价规则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（一）本次网上挂牌以增价方式进行报价，每次加价幅度为本须知规定增价幅度的整数倍。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（二）竞买人的首次报价不低于起始价，此后的竞买人报价须高于报价当时的最新网上挂牌价格，并以增价幅度的整数倍加价。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（三）竞买人通过网上挂牌交易提交的报价一经报出，不得撤回。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（五）在报价期内，竞买人必须进行一次有效报价，才能参加网上限时竞价。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（六）竞买人报价有下列情形之一的，为无效报价：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1、报价未在网上挂牌期限内收到的。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2、报价因竞买人网络故障未在网上挂牌报价期限内收到的。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3、报价不符合报价规则的。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4、报价低于网上挂牌起始价的。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5、报价不符合网上挂牌公告、须知及相关交易文件规定的其他情形。</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十四、系统操作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本中心网上挂牌交易系统</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十五、网上挂牌程序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（一）公布网上挂牌信息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查询。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（二）申请竞买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（三）交纳保证金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1、网上挂牌交易从网上挂牌起始时间起开始接受报价。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2、办理好数字证书、按时足额交付竞买保证金并经网上挂牌交易系统确认的竞买人通过网上挂牌交易系统进行报价。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3、网上挂牌交易系统对符合规定的报价予以确认，并更新显示当前报价。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4、网上挂牌交易系统继续接受新的报价。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5、网上挂牌报价规则见《须知》第十三条。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网上挂牌截止由网上挂牌交易系统自动确定。在公告规定的网上挂牌截止时间，网上挂牌交易系统将显示最高报价，并询问竞买人是否愿意继续竞价（限时竞价）。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1、网上挂牌交易系统将在网上挂牌截止时间自动确定网上挂牌截止。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2、网上挂牌交易系统显示最高报价，并询问竞买人是否愿意继续竞价。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4、有竞买人表示愿意继续竞价的，网上挂牌交易系统自动进入网上限时竞价程序。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5、经网上挂牌交易系统询问完毕后，没有竞买人表示愿意继续竞价的，网上挂牌交易系统按下列规定确定网上挂牌结果：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（1）最高报价高于或等于起始价的，网上挂牌交易系统显示网上挂牌成交，最高报价的出价人为竞得人。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（2）无人应价的，网上挂牌交易显示网上挂牌不成交。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2、5分钟限时竞价内没有新的报价，网上挂牌交易系统将自动关闭报价通道，当前最高报价为最终报价，网上挂牌交易系统确认最高报价者为竞得人。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3、在网上限时竞价中无人报价的，以网上挂牌截止时出价最高者为竞得人，但低于网上挂牌交易底价者除外。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1、网上挂牌交易结束后，竞得人应当自行下载打印《竞买申请书》、《竞价结果通知书》并盖章。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2、竞得人应当在网上挂牌交易结果公布之日起5个工作日内持下列有关纸质材料到本中心进行资格审查并签订《成交确认书》：</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（4）转帐凭证复印件（加盖公章）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（5）申请竞买人有效的《营业执照》副本复印件（加盖公章）（二份）。</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pStyle w:val="2"/>
        <w:ind w:left="0" w:leftChars="0" w:firstLine="640" w:firstLineChars="200"/>
        <w:rPr>
          <w:rFonts w:hint="eastAsia" w:eastAsia="仿宋_GB231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）《惠城区工业项目土地建设和使用监管协议书》</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）竞买人须提交惠城区发改局（或惠州市发改局）出具的与该宗地块规划确定的产业类型一致的优先发展产业项目文件。</w:t>
      </w:r>
    </w:p>
    <w:p>
      <w:pPr>
        <w:ind w:firstLine="640" w:firstLineChars="200"/>
        <w:jc w:val="left"/>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联合竞买协议（联合竞买的提供）。</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竞买人如需保存上述竞买报名资料应自留备份，本中心不予退还。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上述文件中，申请书必须用中文书写，其他文件可以使用其它语言，但必须附中文译本，所有文件的解释以中文译本为准。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（八）网上挂牌出让结果公示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十六、注意事项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土地网上挂牌实行资格后审，不能通过资格审查的竞得人无效，不予签订《惠州市国有建设用地使用权电子挂牌交易成交确认书》（以下简称《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（五）确定竞得人后，竞得人持《惠州市公共资源交易中心网上挂牌竞价结果通知书》以及参加本宗地网上挂牌交易的所须资料到惠州市公共资源交易中心土地矿业交易部申办相关成交确认手续。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《惠州市公共资源交易中心网上挂牌竞价结果通知书》对挂牌人和竞得人具有法律效力，挂牌人改变网上挂牌结果的，或者竞得人放弃竞得宗地的，应当承担相应法律责任。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得人缴纳的竞买保证金，网上挂牌成交后，竞得人应到我中心办理保证金转付地价款手续(保证金中按成交价款的20%转作受让地块的定金）。未竞得人缴交的竞买保证金，在网上挂牌活动结束后5个工作日内，带齐相关资料（《保证金到帐通知书》及进账单等）到本中心退还保证金，不计利息。</w:t>
      </w:r>
    </w:p>
    <w:p>
      <w:pPr>
        <w:ind w:firstLine="640" w:firstLineChars="200"/>
        <w:rPr>
          <w:rFonts w:ascii="Calibri" w:eastAsia="宋体"/>
          <w:kern w:val="0"/>
          <w:sz w:val="24"/>
        </w:rPr>
      </w:pPr>
      <w:r>
        <w:rPr>
          <w:rFonts w:hint="eastAsia" w:ascii="仿宋_GB2312" w:eastAsia="仿宋_GB2312"/>
          <w:sz w:val="32"/>
          <w:szCs w:val="32"/>
        </w:rPr>
        <w:t>保证金少于成交价20%的，不足部分由竞得人在签订《成交确认书》之日起5个工作日内付清。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竞得人签订《国有建设用地使用权网上挂牌成交确认书》后，竞买保证金抵作土地出让价款，成交价款余款在签订《出让合同》之日起30日内一次性付清，逾期未缴纳的，按合同有关规定处理。《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为避免网络延迟问题，竞买人首次出价应在网上挂牌截止前10分钟出价，以防止网上挂牌交易无法及时接收到报价的情况发生。5分钟倒计时竞价期间，请不要在最后时段报价，以防网络延时造成报价提交不成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（九）有下列情形之一的，本中心将暂停、中止或终止网上挂牌交易活动：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1、网上挂牌交易系统受到网络恶意入侵的。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2、因网上挂牌交易系统遭受破坏或发生电力、网络故障等不可抗力因素，导致网上挂牌交易系统不能正常运行的。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3、网上挂牌交易委托人根据有关规定要求暂停、中止或终止网上挂牌交易活动的。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4、涉及土地或矿业权纠纷，不能及时解决的。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5、司法机关要求暂停、中止或终止网上挂牌交易活动的。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6、市自然资源管理部门认为应当暂停、中止或终止网上挂牌交易活动的其他情形。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（十）网上挂牌成交价即为该幅地块的总地价款，竞得人除支付成交价款外，还需支付契税、印花税等有关费用。</w:t>
      </w:r>
    </w:p>
    <w:p>
      <w:pPr>
        <w:ind w:firstLine="640" w:firstLineChars="200"/>
      </w:pPr>
      <w:r>
        <w:rPr>
          <w:rFonts w:hint="eastAsia" w:ascii="仿宋_GB2312" w:hAnsi="仿宋_GB2312" w:eastAsia="仿宋_GB2312" w:cs="仿宋_GB2312"/>
          <w:sz w:val="32"/>
          <w:szCs w:val="32"/>
        </w:rPr>
        <w:t>（十一）该宗地使用网上挂牌方式出让，</w:t>
      </w:r>
      <w:r>
        <w:rPr>
          <w:rFonts w:hint="eastAsia" w:ascii="仿宋_GB2312" w:eastAsia="仿宋_GB2312"/>
          <w:sz w:val="32"/>
          <w:szCs w:val="32"/>
        </w:rPr>
        <w:t>交易全程适用《惠州市国有建设用地使用权和矿业权电子挂牌交易规则》</w:t>
      </w:r>
      <w:r>
        <w:rPr>
          <w:rFonts w:hint="eastAsia" w:ascii="仿宋_GB2312" w:hAnsi="仿宋_GB2312" w:eastAsia="仿宋_GB2312" w:cs="仿宋_GB2312"/>
          <w:sz w:val="32"/>
          <w:szCs w:val="32"/>
        </w:rPr>
        <w:t>（惠府〔2014〕167号）。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（十二）竞得人与出让人签订《出让合同》后，应当按出让合同约定支付网上挂牌成交价款。竞得人付清全部网上挂牌成交价款后，依法申请办理土地登记，领取《不动产权证书》。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（十三）网上挂牌不成交的，应当按规定由委托方和本中心重新组织出让。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（十四）本中心认为需要对网上挂牌出让须知、公告及相关交易文件作出修改、补充时，将通过原公告发布渠道公告，不作另行通知。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（十五）本须知及公告涉及的时间期限，以惠州市公共资源交易中心土地与矿业网上挂牌交易系统服务器的时间为准。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（十六）竞买人在本次网上挂牌交易过程中与惠州市公共资源交易中心发生任何争议，由双方协商。协商不成的可依法提交惠州市仲裁机构仲裁解决。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（十七）本中心对本《须知》有解释权。未尽事宜依照《招标拍卖挂牌出让国有土地使用权规范》办理。</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wordWrap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惠州市公共资源交易中心  </w:t>
      </w:r>
    </w:p>
    <w:p>
      <w:pPr>
        <w:wordWrap w:val="0"/>
        <w:ind w:firstLine="4480" w:firstLineChars="1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81659"/>
      <w:docPartObj>
        <w:docPartGallery w:val="autotext"/>
      </w:docPartObj>
    </w:sdtPr>
    <w:sdtContent>
      <w:p>
        <w:pPr>
          <w:pStyle w:val="4"/>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EB677C"/>
    <w:rsid w:val="0002672C"/>
    <w:rsid w:val="000302E4"/>
    <w:rsid w:val="00031CCA"/>
    <w:rsid w:val="00050DF1"/>
    <w:rsid w:val="000752D8"/>
    <w:rsid w:val="00084498"/>
    <w:rsid w:val="000855C0"/>
    <w:rsid w:val="000929F7"/>
    <w:rsid w:val="000A42CD"/>
    <w:rsid w:val="000A65CE"/>
    <w:rsid w:val="000C5AEA"/>
    <w:rsid w:val="000E6C20"/>
    <w:rsid w:val="000F397F"/>
    <w:rsid w:val="00104D0E"/>
    <w:rsid w:val="0011092C"/>
    <w:rsid w:val="00111FAC"/>
    <w:rsid w:val="001204DF"/>
    <w:rsid w:val="001656EA"/>
    <w:rsid w:val="00187389"/>
    <w:rsid w:val="00192383"/>
    <w:rsid w:val="00195C5B"/>
    <w:rsid w:val="001C073A"/>
    <w:rsid w:val="001C2329"/>
    <w:rsid w:val="001E7828"/>
    <w:rsid w:val="00212B62"/>
    <w:rsid w:val="00217790"/>
    <w:rsid w:val="00250D4E"/>
    <w:rsid w:val="002778C7"/>
    <w:rsid w:val="002A741E"/>
    <w:rsid w:val="002D00AC"/>
    <w:rsid w:val="002F060E"/>
    <w:rsid w:val="002F2591"/>
    <w:rsid w:val="0030191F"/>
    <w:rsid w:val="00305BDD"/>
    <w:rsid w:val="00310DFA"/>
    <w:rsid w:val="00313870"/>
    <w:rsid w:val="0032160A"/>
    <w:rsid w:val="00326B6D"/>
    <w:rsid w:val="00327A98"/>
    <w:rsid w:val="00335A17"/>
    <w:rsid w:val="00363E41"/>
    <w:rsid w:val="00392954"/>
    <w:rsid w:val="003A7D19"/>
    <w:rsid w:val="0040773F"/>
    <w:rsid w:val="00445607"/>
    <w:rsid w:val="004919C6"/>
    <w:rsid w:val="00492998"/>
    <w:rsid w:val="004A77B5"/>
    <w:rsid w:val="004B265D"/>
    <w:rsid w:val="004C1427"/>
    <w:rsid w:val="00562228"/>
    <w:rsid w:val="00587C1C"/>
    <w:rsid w:val="005B6B94"/>
    <w:rsid w:val="005E4B69"/>
    <w:rsid w:val="00615740"/>
    <w:rsid w:val="006B13D9"/>
    <w:rsid w:val="006B36E6"/>
    <w:rsid w:val="006B4DCB"/>
    <w:rsid w:val="006E2333"/>
    <w:rsid w:val="006F3CE4"/>
    <w:rsid w:val="00752D3D"/>
    <w:rsid w:val="007622DB"/>
    <w:rsid w:val="00770058"/>
    <w:rsid w:val="00773904"/>
    <w:rsid w:val="007A1844"/>
    <w:rsid w:val="007F05F1"/>
    <w:rsid w:val="00803BC3"/>
    <w:rsid w:val="00826D3A"/>
    <w:rsid w:val="00831620"/>
    <w:rsid w:val="0084509F"/>
    <w:rsid w:val="008475AE"/>
    <w:rsid w:val="008534B6"/>
    <w:rsid w:val="008709FA"/>
    <w:rsid w:val="00874031"/>
    <w:rsid w:val="008A764B"/>
    <w:rsid w:val="008C09CA"/>
    <w:rsid w:val="008C7B6B"/>
    <w:rsid w:val="008D7A86"/>
    <w:rsid w:val="00902BED"/>
    <w:rsid w:val="00933481"/>
    <w:rsid w:val="00946A82"/>
    <w:rsid w:val="0095754F"/>
    <w:rsid w:val="00957F2E"/>
    <w:rsid w:val="009A0E85"/>
    <w:rsid w:val="009A28DD"/>
    <w:rsid w:val="009A4204"/>
    <w:rsid w:val="00A45ECD"/>
    <w:rsid w:val="00A51D7C"/>
    <w:rsid w:val="00A814F3"/>
    <w:rsid w:val="00AB60A4"/>
    <w:rsid w:val="00AD14AE"/>
    <w:rsid w:val="00AF6441"/>
    <w:rsid w:val="00B117FE"/>
    <w:rsid w:val="00B11C63"/>
    <w:rsid w:val="00B40DA1"/>
    <w:rsid w:val="00B54E2E"/>
    <w:rsid w:val="00B8145D"/>
    <w:rsid w:val="00B83114"/>
    <w:rsid w:val="00B91855"/>
    <w:rsid w:val="00B97217"/>
    <w:rsid w:val="00BA61A4"/>
    <w:rsid w:val="00BC08A0"/>
    <w:rsid w:val="00C12E89"/>
    <w:rsid w:val="00C61F75"/>
    <w:rsid w:val="00C76EFB"/>
    <w:rsid w:val="00C77173"/>
    <w:rsid w:val="00C93D8B"/>
    <w:rsid w:val="00C968C7"/>
    <w:rsid w:val="00CA2DA5"/>
    <w:rsid w:val="00CB604F"/>
    <w:rsid w:val="00CC75DA"/>
    <w:rsid w:val="00CE5351"/>
    <w:rsid w:val="00CE717B"/>
    <w:rsid w:val="00CF0C5C"/>
    <w:rsid w:val="00CF43E2"/>
    <w:rsid w:val="00D20F96"/>
    <w:rsid w:val="00D33098"/>
    <w:rsid w:val="00D41524"/>
    <w:rsid w:val="00D47268"/>
    <w:rsid w:val="00DA199E"/>
    <w:rsid w:val="00DC7D06"/>
    <w:rsid w:val="00E233D0"/>
    <w:rsid w:val="00E5110D"/>
    <w:rsid w:val="00E93AE8"/>
    <w:rsid w:val="00EC3CE4"/>
    <w:rsid w:val="00EC5DE6"/>
    <w:rsid w:val="00F11CF0"/>
    <w:rsid w:val="00F13D2D"/>
    <w:rsid w:val="00F24EAE"/>
    <w:rsid w:val="00F2671A"/>
    <w:rsid w:val="00FA4D54"/>
    <w:rsid w:val="00FE5BDE"/>
    <w:rsid w:val="00FF52AB"/>
    <w:rsid w:val="01C270C4"/>
    <w:rsid w:val="026A42ED"/>
    <w:rsid w:val="02E807A4"/>
    <w:rsid w:val="047E4A7C"/>
    <w:rsid w:val="07BC4D9F"/>
    <w:rsid w:val="08191262"/>
    <w:rsid w:val="082A509A"/>
    <w:rsid w:val="08CC04B9"/>
    <w:rsid w:val="09B3312D"/>
    <w:rsid w:val="0A650DF3"/>
    <w:rsid w:val="0A9146C8"/>
    <w:rsid w:val="0B7C08B1"/>
    <w:rsid w:val="0D6311F8"/>
    <w:rsid w:val="0E992F33"/>
    <w:rsid w:val="0FC14B9A"/>
    <w:rsid w:val="0FED08F4"/>
    <w:rsid w:val="13F90EA8"/>
    <w:rsid w:val="143B128E"/>
    <w:rsid w:val="14457F40"/>
    <w:rsid w:val="14EB677C"/>
    <w:rsid w:val="15B67A66"/>
    <w:rsid w:val="16991540"/>
    <w:rsid w:val="17311417"/>
    <w:rsid w:val="18510C91"/>
    <w:rsid w:val="186E407B"/>
    <w:rsid w:val="1A9709DD"/>
    <w:rsid w:val="1AEE2345"/>
    <w:rsid w:val="1B8D1202"/>
    <w:rsid w:val="1BA77990"/>
    <w:rsid w:val="1CC405AD"/>
    <w:rsid w:val="1E6D6470"/>
    <w:rsid w:val="1EE135A3"/>
    <w:rsid w:val="1F892EAA"/>
    <w:rsid w:val="2020255F"/>
    <w:rsid w:val="208423ED"/>
    <w:rsid w:val="23D15B78"/>
    <w:rsid w:val="244F0A67"/>
    <w:rsid w:val="248C1BCA"/>
    <w:rsid w:val="26C80AD1"/>
    <w:rsid w:val="26D60318"/>
    <w:rsid w:val="26DE56F6"/>
    <w:rsid w:val="27ED5E1D"/>
    <w:rsid w:val="2A5B6A0C"/>
    <w:rsid w:val="2B8260F0"/>
    <w:rsid w:val="2ECA6B03"/>
    <w:rsid w:val="2EFF4F87"/>
    <w:rsid w:val="30E22562"/>
    <w:rsid w:val="316A656E"/>
    <w:rsid w:val="31F23704"/>
    <w:rsid w:val="359D0CEF"/>
    <w:rsid w:val="36A0762A"/>
    <w:rsid w:val="385B08E1"/>
    <w:rsid w:val="395F0C2F"/>
    <w:rsid w:val="3BBB16D3"/>
    <w:rsid w:val="3C707844"/>
    <w:rsid w:val="3C803B24"/>
    <w:rsid w:val="3C995B83"/>
    <w:rsid w:val="3EC40700"/>
    <w:rsid w:val="3F9E57C9"/>
    <w:rsid w:val="3FD02C50"/>
    <w:rsid w:val="42B84DD4"/>
    <w:rsid w:val="44767DC8"/>
    <w:rsid w:val="449427CF"/>
    <w:rsid w:val="46EA33FE"/>
    <w:rsid w:val="49B75817"/>
    <w:rsid w:val="4C9F45D6"/>
    <w:rsid w:val="4DD142C4"/>
    <w:rsid w:val="4F00169D"/>
    <w:rsid w:val="4F0140DA"/>
    <w:rsid w:val="4F0922AF"/>
    <w:rsid w:val="4F2C3553"/>
    <w:rsid w:val="4F60034F"/>
    <w:rsid w:val="512D0E67"/>
    <w:rsid w:val="515F0963"/>
    <w:rsid w:val="52A852A2"/>
    <w:rsid w:val="53C61D5C"/>
    <w:rsid w:val="54BB1214"/>
    <w:rsid w:val="54EF57E1"/>
    <w:rsid w:val="554774A9"/>
    <w:rsid w:val="554A25F8"/>
    <w:rsid w:val="56435259"/>
    <w:rsid w:val="56855FE3"/>
    <w:rsid w:val="56866DDC"/>
    <w:rsid w:val="5B6C68BC"/>
    <w:rsid w:val="5D00395E"/>
    <w:rsid w:val="5D2D65B1"/>
    <w:rsid w:val="5DC51E85"/>
    <w:rsid w:val="5F9C36A9"/>
    <w:rsid w:val="60E50A21"/>
    <w:rsid w:val="641A082A"/>
    <w:rsid w:val="67A327AC"/>
    <w:rsid w:val="69353F2C"/>
    <w:rsid w:val="69F51B6E"/>
    <w:rsid w:val="6A27187C"/>
    <w:rsid w:val="6B1A192E"/>
    <w:rsid w:val="6BD979AB"/>
    <w:rsid w:val="6BDC7DA2"/>
    <w:rsid w:val="6C4E20E8"/>
    <w:rsid w:val="6E387F74"/>
    <w:rsid w:val="6ED55099"/>
    <w:rsid w:val="6F1F3CC6"/>
    <w:rsid w:val="73F34263"/>
    <w:rsid w:val="758939B7"/>
    <w:rsid w:val="77044612"/>
    <w:rsid w:val="7846611B"/>
    <w:rsid w:val="7888011C"/>
    <w:rsid w:val="7ACF50E2"/>
    <w:rsid w:val="7C985DBB"/>
    <w:rsid w:val="7E3E4F29"/>
    <w:rsid w:val="7E68329E"/>
    <w:rsid w:val="7FAB0A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qFormat/>
    <w:uiPriority w:val="0"/>
    <w:rPr>
      <w:color w:val="696969"/>
      <w:u w:val="single"/>
    </w:rPr>
  </w:style>
  <w:style w:type="character" w:styleId="8">
    <w:name w:val="Hyperlink"/>
    <w:basedOn w:val="6"/>
    <w:qFormat/>
    <w:uiPriority w:val="0"/>
    <w:rPr>
      <w:color w:val="696969"/>
      <w:u w:val="single"/>
    </w:rPr>
  </w:style>
  <w:style w:type="character" w:customStyle="1" w:styleId="10">
    <w:name w:val="页脚 Char"/>
    <w:basedOn w:val="6"/>
    <w:link w:val="4"/>
    <w:qFormat/>
    <w:uiPriority w:val="99"/>
    <w:rPr>
      <w:rFonts w:asciiTheme="minorHAnsi" w:hAnsiTheme="minorHAnsi" w:eastAsiaTheme="minorEastAsia" w:cstheme="minorBidi"/>
      <w:kern w:val="2"/>
      <w:sz w:val="18"/>
      <w:szCs w:val="24"/>
    </w:rPr>
  </w:style>
  <w:style w:type="character" w:customStyle="1" w:styleId="11">
    <w:name w:val="t-link52"/>
    <w:basedOn w:val="6"/>
    <w:qFormat/>
    <w:uiPriority w:val="0"/>
  </w:style>
  <w:style w:type="character" w:customStyle="1" w:styleId="12">
    <w:name w:val="t-in2"/>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D8305-1A45-4453-BE2D-41A762C36762}">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20</Pages>
  <Words>1347</Words>
  <Characters>7678</Characters>
  <Lines>63</Lines>
  <Paragraphs>18</Paragraphs>
  <TotalTime>0</TotalTime>
  <ScaleCrop>false</ScaleCrop>
  <LinksUpToDate>false</LinksUpToDate>
  <CharactersWithSpaces>9007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2019-01-11T01:30:00Z</dcterms:created>
  <dc:creator>刘智东</dc:creator>
  <cp:lastModifiedBy>黄春枚</cp:lastModifiedBy>
  <cp:lastPrinted>2020-11-27T02:09:00Z</cp:lastPrinted>
  <dcterms:modified xsi:type="dcterms:W3CDTF">2021-01-07T01:15:44Z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