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惠州市惠城区</w:t>
      </w:r>
      <w:r>
        <w:rPr>
          <w:rFonts w:hint="default" w:ascii="仿宋_GB2312" w:hAnsi="仿宋_GB2312" w:eastAsia="仿宋_GB2312" w:cs="仿宋_GB2312"/>
          <w:sz w:val="32"/>
          <w:szCs w:val="32"/>
          <w:lang w:val="en-US" w:eastAsia="zh-CN"/>
        </w:rPr>
        <w:t>水口西区</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default" w:ascii="仿宋_GB2312" w:hAnsi="仿宋_GB2312" w:eastAsia="仿宋_GB2312" w:cs="仿宋_GB2312"/>
          <w:sz w:val="32"/>
          <w:szCs w:val="32"/>
          <w:lang w:val="en-US" w:eastAsia="zh-CN"/>
        </w:rPr>
        <w:t>JD102-05</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w:t>
      </w:r>
      <w:r>
        <w:rPr>
          <w:rFonts w:hint="default" w:ascii="仿宋_GB2312" w:hAnsi="仿宋_GB2312" w:eastAsia="仿宋_GB2312" w:cs="仿宋_GB2312"/>
          <w:sz w:val="32"/>
          <w:szCs w:val="32"/>
          <w:lang w:val="en-US" w:eastAsia="zh-CN"/>
        </w:rPr>
        <w:t>根据《关于JD102-05地块内1387平方米、1421平方米用地规划要点的函》（惠市规建函〔2018〕1903号）、《关于核实JD102-05地块规划条件的复函》</w:t>
      </w:r>
      <w:r>
        <w:rPr>
          <w:rFonts w:hint="eastAsia" w:ascii="仿宋_GB2312" w:hAnsi="仿宋_GB2312" w:eastAsia="仿宋_GB2312" w:cs="仿宋_GB2312"/>
          <w:sz w:val="32"/>
          <w:szCs w:val="32"/>
        </w:rPr>
        <w:t>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1421.31</w:t>
      </w:r>
      <w:r>
        <w:rPr>
          <w:rFonts w:hint="eastAsia" w:ascii="仿宋_GB2312" w:hAnsi="仿宋_GB2312" w:eastAsia="仿宋_GB2312" w:cs="仿宋_GB2312"/>
          <w:sz w:val="32"/>
          <w:szCs w:val="32"/>
        </w:rPr>
        <w:t>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3268.3平方米</w:t>
      </w:r>
      <w:r>
        <w:rPr>
          <w:rFonts w:hint="default" w:ascii="仿宋_GB2312" w:hAnsi="仿宋_GB2312" w:eastAsia="仿宋_GB2312" w:cs="仿宋_GB2312"/>
          <w:sz w:val="32"/>
          <w:szCs w:val="32"/>
          <w:lang w:val="en-US" w:eastAsia="zh-CN"/>
        </w:rPr>
        <w:t>(其中商业</w:t>
      </w:r>
      <w:r>
        <w:rPr>
          <w:rFonts w:hint="eastAsia" w:ascii="仿宋_GB2312" w:hAnsi="仿宋_GB2312" w:eastAsia="仿宋_GB2312" w:cs="仿宋_GB2312"/>
          <w:sz w:val="32"/>
          <w:szCs w:val="32"/>
          <w:lang w:val="en-US" w:eastAsia="zh-CN"/>
        </w:rPr>
        <w:t>、服务业</w:t>
      </w:r>
      <w:r>
        <w:rPr>
          <w:rFonts w:hint="default" w:ascii="仿宋_GB2312" w:hAnsi="仿宋_GB2312" w:eastAsia="仿宋_GB2312" w:cs="仿宋_GB2312"/>
          <w:sz w:val="32"/>
          <w:szCs w:val="32"/>
          <w:lang w:val="en-US" w:eastAsia="zh-CN"/>
        </w:rPr>
        <w:t>建筑面积≤</w:t>
      </w:r>
      <w:r>
        <w:rPr>
          <w:rFonts w:hint="eastAsia" w:ascii="仿宋_GB2312" w:hAnsi="仿宋_GB2312" w:eastAsia="仿宋_GB2312" w:cs="仿宋_GB2312"/>
          <w:sz w:val="32"/>
          <w:szCs w:val="32"/>
          <w:lang w:val="en-US" w:eastAsia="zh-CN"/>
        </w:rPr>
        <w:t>327平方米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城镇住宅、商服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城镇住宅</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tabs>
          <w:tab w:val="left" w:pos="3388"/>
        </w:tabs>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）容积率为：≤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 xml:space="preserve">；  </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（十）适建性：</w:t>
      </w:r>
      <w:r>
        <w:rPr>
          <w:rFonts w:hint="eastAsia" w:ascii="仿宋_GB2312" w:hAnsi="仿宋_GB2312" w:eastAsia="仿宋_GB2312" w:cs="仿宋_GB2312"/>
          <w:sz w:val="32"/>
          <w:szCs w:val="32"/>
          <w:lang w:eastAsia="zh-CN"/>
        </w:rPr>
        <w:t>住宅、商业及配套设施</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（一）开发投资总额不少于</w:t>
      </w:r>
      <w:r>
        <w:rPr>
          <w:rFonts w:hint="eastAsia" w:ascii="仿宋_GB2312" w:hAnsi="仿宋_GB2312" w:eastAsia="仿宋_GB2312" w:cs="仿宋_GB2312"/>
          <w:sz w:val="32"/>
          <w:szCs w:val="32"/>
          <w:lang w:val="en-US" w:eastAsia="zh-CN"/>
        </w:rPr>
        <w:t>2500</w:t>
      </w:r>
      <w:r>
        <w:rPr>
          <w:rFonts w:hint="default" w:ascii="仿宋_GB2312" w:hAnsi="仿宋_GB2312" w:eastAsia="仿宋_GB2312" w:cs="仿宋_GB2312"/>
          <w:sz w:val="32"/>
          <w:szCs w:val="32"/>
          <w:lang w:val="en-US" w:eastAsia="zh-CN"/>
        </w:rPr>
        <w:t>万元（含地价,不含地价溢价部分）。</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（二）土地成交价款须以人民币支付,竞得人在签订《出让合同》之日起30日内付清全部成交价款。</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（三）该地权利清晰，安置补偿落实到位，没有法律经济纠纷，具备动工开发所必须的基本条件。</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竞得人在用地红线内开发建设必须符合城市规划要求，必须按《关于JD102-05地块内1387平方米、1421平方米用地规划要点的函》（惠市规建函〔2018〕1903号）及《关于核实JD102-05地块规划条件的复函》规划控制指标要求及有关规定进行规划设计。该宗地紧邻市政道路，在满足道路退让要求后，不具备独立开发条件，须与惠市规建函〔2018〕1903号</w:t>
      </w:r>
      <w:r>
        <w:rPr>
          <w:rFonts w:hint="eastAsia" w:ascii="仿宋_GB2312" w:hAnsi="仿宋_GB2312" w:eastAsia="仿宋_GB2312" w:cs="仿宋_GB2312"/>
          <w:sz w:val="32"/>
          <w:szCs w:val="32"/>
          <w:lang w:val="en-US" w:eastAsia="zh-CN"/>
        </w:rPr>
        <w:t>文所述权属用地统一规划、统一建设</w:t>
      </w:r>
      <w:r>
        <w:rPr>
          <w:rFonts w:hint="default" w:ascii="仿宋_GB2312" w:hAnsi="仿宋_GB2312" w:eastAsia="仿宋_GB2312" w:cs="仿宋_GB2312"/>
          <w:sz w:val="32"/>
          <w:szCs w:val="32"/>
          <w:lang w:val="en-US" w:eastAsia="zh-CN"/>
        </w:rPr>
        <w:t>。</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442</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64</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493</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壹仟肆佰柒拾壹</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1471</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18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442</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64</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玖拾叁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493</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568"/>
        <w:rPr>
          <w:rFonts w:hint="eastAsia" w:ascii="仿宋_GB2312" w:eastAsia="仿宋_GB2312"/>
          <w:sz w:val="32"/>
          <w:szCs w:val="32"/>
        </w:rPr>
      </w:pPr>
      <w:r>
        <w:rPr>
          <w:rFonts w:hint="eastAsia" w:ascii="仿宋_GB2312" w:eastAsia="仿宋_GB2312"/>
          <w:sz w:val="32"/>
          <w:szCs w:val="32"/>
          <w:lang w:val="en-US" w:eastAsia="zh-CN"/>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830E8F"/>
    <w:rsid w:val="030F1806"/>
    <w:rsid w:val="04AD7D35"/>
    <w:rsid w:val="054F511E"/>
    <w:rsid w:val="0CD05DB7"/>
    <w:rsid w:val="0F830A62"/>
    <w:rsid w:val="0FC62DE2"/>
    <w:rsid w:val="109A02CD"/>
    <w:rsid w:val="114A1759"/>
    <w:rsid w:val="16283DCA"/>
    <w:rsid w:val="18E65A07"/>
    <w:rsid w:val="1C387F88"/>
    <w:rsid w:val="1C552ED6"/>
    <w:rsid w:val="1D082B40"/>
    <w:rsid w:val="1E192718"/>
    <w:rsid w:val="1FAB74B3"/>
    <w:rsid w:val="20061FAD"/>
    <w:rsid w:val="24FB650C"/>
    <w:rsid w:val="26067B89"/>
    <w:rsid w:val="2608519C"/>
    <w:rsid w:val="267D0353"/>
    <w:rsid w:val="296C67A2"/>
    <w:rsid w:val="2A8A6543"/>
    <w:rsid w:val="2B1F451B"/>
    <w:rsid w:val="2BAF1540"/>
    <w:rsid w:val="2D6206D4"/>
    <w:rsid w:val="2E441035"/>
    <w:rsid w:val="30853164"/>
    <w:rsid w:val="322A1DC6"/>
    <w:rsid w:val="34405344"/>
    <w:rsid w:val="351709CA"/>
    <w:rsid w:val="35F81310"/>
    <w:rsid w:val="385771C0"/>
    <w:rsid w:val="38AB40F2"/>
    <w:rsid w:val="39F76430"/>
    <w:rsid w:val="3BE56A3C"/>
    <w:rsid w:val="3DBA5BC3"/>
    <w:rsid w:val="3E3E281B"/>
    <w:rsid w:val="3E546F3E"/>
    <w:rsid w:val="3E5F4D8D"/>
    <w:rsid w:val="426E3FC4"/>
    <w:rsid w:val="43185547"/>
    <w:rsid w:val="4632212B"/>
    <w:rsid w:val="49EB09D0"/>
    <w:rsid w:val="4BB72777"/>
    <w:rsid w:val="4E1B3647"/>
    <w:rsid w:val="575C2D03"/>
    <w:rsid w:val="5A233067"/>
    <w:rsid w:val="5C2303AF"/>
    <w:rsid w:val="5C4C3ACF"/>
    <w:rsid w:val="5C731101"/>
    <w:rsid w:val="64DD162F"/>
    <w:rsid w:val="661C1CD7"/>
    <w:rsid w:val="67576BA1"/>
    <w:rsid w:val="68C033F6"/>
    <w:rsid w:val="68FB76FE"/>
    <w:rsid w:val="69CC62F3"/>
    <w:rsid w:val="6B405C37"/>
    <w:rsid w:val="70E3266E"/>
    <w:rsid w:val="71772A86"/>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3</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2020-04-30T08:52:00Z</cp:lastPrinted>
  <dcterms:modified xsi:type="dcterms:W3CDTF">2020-08-14T08:10:05Z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