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w:t>
      </w:r>
      <w:r>
        <w:rPr>
          <w:rFonts w:hint="eastAsia" w:ascii="仿宋_GB2312" w:hAnsi="仿宋_GB2312" w:eastAsia="仿宋_GB2312" w:cs="仿宋_GB2312"/>
          <w:sz w:val="32"/>
          <w:szCs w:val="32"/>
          <w:lang w:eastAsia="zh-CN"/>
        </w:rPr>
        <w:t>金山湖片区</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（三）规划编</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JSH-B02-19、JSH-B02-20、JSH-B02-21、JSH-B02-23</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（四）地块范围：</w:t>
      </w:r>
      <w:r>
        <w:rPr>
          <w:rFonts w:hint="default" w:ascii="仿宋_GB2312" w:hAnsi="仿宋_GB2312" w:eastAsia="仿宋_GB2312" w:cs="仿宋_GB2312"/>
          <w:sz w:val="32"/>
          <w:szCs w:val="32"/>
          <w:lang w:val="en-US" w:eastAsia="zh-CN"/>
        </w:rPr>
        <w:t>平面界址点以建设用地红线图（案宗编号：YD20200079、YD20200080、YD20200081、YD20200082)为准，宗地竖向界限以《建设用地规划设计条件（案卷编号：PB20200119号）》（以下简称“《规划设计条件》”）规定为准</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JSH-B02-19：39715.88</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JSH-B02-20：34243.64</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JSH-B02-21：16487.34</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JSH-B02-23：26369.37</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JSH-B02-19：52015.18</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JSH-B02-20：46719.55</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JSH-B02-21：19966.03</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JSH-B02-23：38139.99</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（七）计容积率建筑面积为：≤420000</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rPr>
        <w:t>（产业用房建筑面积≥60%，配套住宅、商业和商务建筑面积≤30%，配套用房建筑面积≤10%，不得建设服务型公寓，且JSH-B02-19地块内不得建设配套住宅。配套设施建筑面积≥3240</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（八）机动车停车位: 产业建筑每100平方米计容积率面积≥0.5个，产业配套用房、配套住宅、商业、商务建筑面积每100平方米计容积率建筑≥1个</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（九）土地用途为：新型产业用地；</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（十）土地使用权出让年期为：</w:t>
      </w:r>
      <w:r>
        <w:rPr>
          <w:rFonts w:hint="eastAsia" w:ascii="仿宋_GB2312" w:hAnsi="仿宋_GB2312" w:eastAsia="仿宋_GB2312" w:cs="仿宋_GB2312"/>
          <w:sz w:val="32"/>
          <w:szCs w:val="32"/>
          <w:lang w:eastAsia="zh-CN"/>
        </w:rPr>
        <w:t>产业用地50年、商服用地40年、住宅用地70年。</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（十一）容积率为：≤2.</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（十二）建筑密度为：≤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）适建性：新型产业配套用房严禁建设成套住宅、专家楼宾馆、招待所和培训中心等 非生产性配套设施，严禁建设服务型公寓。</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eastAsia="zh-CN"/>
        </w:rPr>
      </w:pPr>
      <w:r>
        <w:rPr>
          <w:rFonts w:hint="eastAsia" w:ascii="仿宋_GB2312" w:hAnsi="仿宋_GB2312" w:eastAsia="仿宋_GB2312" w:cs="仿宋_GB2312"/>
          <w:sz w:val="32"/>
          <w:szCs w:val="32"/>
        </w:rPr>
        <w:t>（一）</w:t>
      </w:r>
      <w:r>
        <w:rPr>
          <w:rFonts w:hint="eastAsia" w:ascii="仿宋_GB2312" w:hAnsi="仿宋" w:eastAsia="仿宋_GB2312" w:cs="Times New Roman"/>
          <w:kern w:val="2"/>
          <w:sz w:val="32"/>
          <w:szCs w:val="32"/>
          <w:lang w:eastAsia="zh-CN"/>
        </w:rPr>
        <w:t>开发投资总额按新型产业用地项目实施监管协议书中有关约定执行。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hAnsi="仿宋_GB2312" w:cs="仿宋_GB2312"/>
          <w:szCs w:val="32"/>
          <w:lang w:eastAsia="zh-CN"/>
        </w:rPr>
        <w:t>建设用地规划设计条件</w:t>
      </w:r>
      <w:r>
        <w:rPr>
          <w:rFonts w:hint="eastAsia" w:hAnsi="仿宋_GB2312" w:cs="仿宋_GB2312"/>
          <w:szCs w:val="32"/>
        </w:rPr>
        <w:t>》（案卷编号：</w:t>
      </w:r>
      <w:r>
        <w:rPr>
          <w:rFonts w:hint="eastAsia" w:ascii="仿宋_GB2312" w:hAnsi="仿宋" w:eastAsia="仿宋_GB2312" w:cs="Times New Roman"/>
          <w:sz w:val="32"/>
          <w:szCs w:val="32"/>
        </w:rPr>
        <w:t>PB20</w:t>
      </w:r>
      <w:r>
        <w:rPr>
          <w:rFonts w:hint="default" w:ascii="仿宋_GB2312" w:hAnsi="仿宋" w:eastAsia="仿宋_GB2312" w:cs="Times New Roman"/>
          <w:sz w:val="32"/>
          <w:szCs w:val="32"/>
          <w:lang w:val="en-US"/>
        </w:rPr>
        <w:t>200</w:t>
      </w:r>
      <w:r>
        <w:rPr>
          <w:rFonts w:hint="eastAsia" w:hAnsi="仿宋" w:cs="Times New Roman"/>
          <w:sz w:val="32"/>
          <w:szCs w:val="32"/>
          <w:lang w:val="en-US" w:eastAsia="zh-CN"/>
        </w:rPr>
        <w:t>119</w:t>
      </w:r>
      <w:r>
        <w:rPr>
          <w:rFonts w:hint="eastAsia" w:hAnsi="仿宋_GB2312" w:cs="仿宋_GB2312"/>
          <w:szCs w:val="32"/>
        </w:rPr>
        <w:t>）规划控制指标要求及有关规定进行规划设计。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kern w:val="2"/>
          <w:sz w:val="32"/>
          <w:szCs w:val="32"/>
        </w:rPr>
        <w:t>（</w:t>
      </w:r>
      <w:r>
        <w:rPr>
          <w:rFonts w:hint="eastAsia" w:ascii="仿宋_GB2312" w:hAnsi="仿宋" w:eastAsia="仿宋_GB2312"/>
          <w:kern w:val="2"/>
          <w:sz w:val="32"/>
          <w:szCs w:val="32"/>
          <w:lang w:val="en-US" w:eastAsia="zh-CN"/>
        </w:rPr>
        <w:t>五</w:t>
      </w:r>
      <w:r>
        <w:rPr>
          <w:rFonts w:hint="eastAsia" w:ascii="仿宋_GB2312" w:hAnsi="仿宋" w:eastAsia="仿宋_GB2312"/>
          <w:kern w:val="2"/>
          <w:sz w:val="32"/>
          <w:szCs w:val="32"/>
        </w:rPr>
        <w:t>）</w:t>
      </w:r>
      <w:r>
        <w:rPr>
          <w:rFonts w:hint="eastAsia" w:ascii="仿宋_GB2312" w:hAnsi="仿宋" w:eastAsia="仿宋_GB2312" w:cs="Times New Roman"/>
          <w:kern w:val="2"/>
          <w:sz w:val="32"/>
          <w:szCs w:val="32"/>
          <w:lang w:eastAsia="zh-CN"/>
        </w:rPr>
        <w:t>土地竞得人在竞得地块后，先与惠城区政府签订《新型产业用地项目实施监管协议书》方可与市自然资源局签订《国有建设用地使用权出让合同》。</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lang w:val="en-US" w:eastAsia="zh-CN"/>
        </w:rPr>
        <w:t>六</w:t>
      </w:r>
      <w:r>
        <w:rPr>
          <w:rFonts w:hint="eastAsia" w:ascii="仿宋_GB2312" w:hAnsi="仿宋" w:eastAsia="仿宋_GB2312" w:cs="Times New Roman"/>
          <w:kern w:val="2"/>
          <w:sz w:val="32"/>
          <w:szCs w:val="32"/>
          <w:lang w:eastAsia="zh-CN"/>
        </w:rPr>
        <w:t>）开发投资总额按新型产业用地项目实施监管协议书中有关约定执行。</w:t>
      </w:r>
    </w:p>
    <w:p>
      <w:pPr>
        <w:keepNext w:val="0"/>
        <w:keepLines w:val="0"/>
        <w:pageBreakBefore w:val="0"/>
        <w:kinsoku/>
        <w:wordWrap/>
        <w:overflowPunct/>
        <w:topLinePunct w:val="0"/>
        <w:autoSpaceDE/>
        <w:autoSpaceDN/>
        <w:bidi w:val="0"/>
        <w:spacing w:line="560" w:lineRule="exact"/>
        <w:ind w:firstLine="610"/>
        <w:textAlignment w:val="auto"/>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val="en-US" w:eastAsia="zh-CN"/>
        </w:rPr>
        <w:t>七</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该新型产业项目中兼容的商业和住宅用地及地上物业的分割转让应满足新型产业用地项目实施监管协议书的要求。</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default" w:ascii="仿宋_GB2312" w:hAnsi="仿宋" w:eastAsia="仿宋_GB2312" w:cs="Times New Roman"/>
          <w:kern w:val="2"/>
          <w:sz w:val="32"/>
          <w:szCs w:val="32"/>
          <w:lang w:val="en-US"/>
        </w:rPr>
        <w:t>(</w:t>
      </w:r>
      <w:r>
        <w:rPr>
          <w:rFonts w:hint="eastAsia" w:ascii="仿宋_GB2312" w:hAnsi="仿宋" w:eastAsia="仿宋_GB2312" w:cs="Times New Roman"/>
          <w:kern w:val="2"/>
          <w:sz w:val="32"/>
          <w:szCs w:val="32"/>
          <w:lang w:val="en-US" w:eastAsia="zh-CN"/>
        </w:rPr>
        <w:t>八）土地竞得人须按规划要求承担地块内的密路网（包括雨水管和污水管）的建设，建成后无偿移交给政府相关部门并开发给公众使用。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九）幼儿园具体位置可由土地竞得人结合总平面设计统筹布置，幼儿园应与所在地块同步规划设计、同步建设、同步验收交付使用。在办理供地手续时，在出让合同中明确由地块使用权者按照规划要求和惠城区教育局提出的建设标准完成配套幼儿园建设并无偿移交，不动产登记部门在办理分割登记手续时，将幼儿园按划拨教育用地办至惠城区教育局名下。</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（十） 土地竞得人须按照规划要求和惠城区教育局提出的建设标准承担JSH-B04-21-03地块规划的九年一贯制学校建设并无偿移交，九年一贯制学校须与JSH-B02-19、JSH-B02-20、JSH-B02-21、JSH-B02-23地块同步规划设计、同步建设、同步验收交付使用。JSH-B04-21-03地块同步划拨至惠城区教育局名下。</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（十一）JSH-B02-19地块内严禁建设配套住宅。</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（十二）新型产业生产配套用房严禁建设成套住宅、专家楼、宾馆、招待所和培训中心等非生产性配套设施，严禁建设服务型公寓。</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（十三）该地块上空110KV高压线迁移费用由竞得人自理。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sz w:val="32"/>
          <w:szCs w:val="32"/>
        </w:rPr>
      </w:pPr>
      <w:r>
        <w:rPr>
          <w:rFonts w:hint="eastAsia" w:ascii="仿宋_GB2312" w:hAnsi="仿宋" w:eastAsia="仿宋_GB2312" w:cs="Times New Roman"/>
          <w:kern w:val="2"/>
          <w:sz w:val="32"/>
          <w:szCs w:val="32"/>
          <w:lang w:val="en-US" w:eastAsia="zh-CN"/>
        </w:rPr>
        <w:t>（十四）JSH-B02-22地块规划要充分考虑站场、配套设施等未来综合开发的需求。</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17430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2584</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20021</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捌亿柒</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壹佰伍拾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87150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仟万元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7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壹亿柒仟肆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17430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贰仟伍</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捌拾肆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2584</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贰亿零贰拾壹</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20021</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10、中国民生银行股份有限公司惠州分行。</w:t>
      </w:r>
    </w:p>
    <w:p>
      <w:pPr>
        <w:spacing w:line="560" w:lineRule="exact"/>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r>
        <w:rPr>
          <w:rFonts w:hint="eastAsia" w:ascii="仿宋_GB2312" w:hAnsi="仿宋_GB2312" w:eastAsia="仿宋_GB2312" w:cs="仿宋_GB2312"/>
          <w:sz w:val="32"/>
          <w:szCs w:val="32"/>
          <w:lang w:eastAsia="zh-CN"/>
        </w:rPr>
        <w:t>。</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因该地块用地性质为新型产业用地，竞得人须接受《新型产业用地项目实施监管协议书》，并在签订《成交确认书》后5个工作日内与惠城区人民政府签订《新型产业用地项目实施监管协议书》；签订《新型产业用地项目实施监管协议书》后5个工作日内与出让人签订《出让合同》，逾期自动解除《成交确认书》，定金不予返还。</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）网上挂牌成交后，竞得人应到我中心办理保证金转付地价款手续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竞得人签订《成交确认书》后，缴交的保证金中按成交价的10%转作定金，竞得人签订《出让合同》后，定金转作土地出让价款</w:t>
      </w:r>
      <w:r>
        <w:rPr>
          <w:rFonts w:hint="eastAsia" w:ascii="仿宋_GB2312" w:hAnsi="仿宋_GB2312" w:eastAsia="仿宋_GB2312" w:cs="仿宋_GB2312"/>
          <w:sz w:val="32"/>
          <w:szCs w:val="32"/>
        </w:rPr>
        <w:t>。</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）竞得人签订《国有建设用地使用权网上挂牌成交确认书》后，竞买保证金抵作土地出让价款，成交价款余款按《出让合同》的约定支付。</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2A0E3D"/>
    <w:rsid w:val="030F1806"/>
    <w:rsid w:val="04AD7D35"/>
    <w:rsid w:val="054F511E"/>
    <w:rsid w:val="0669304B"/>
    <w:rsid w:val="0CD05DB7"/>
    <w:rsid w:val="0EF71B7A"/>
    <w:rsid w:val="0F830A62"/>
    <w:rsid w:val="109A02CD"/>
    <w:rsid w:val="13405DD9"/>
    <w:rsid w:val="15425BD9"/>
    <w:rsid w:val="18486D1D"/>
    <w:rsid w:val="20061FAD"/>
    <w:rsid w:val="296C67A2"/>
    <w:rsid w:val="29CD5A71"/>
    <w:rsid w:val="2A53478D"/>
    <w:rsid w:val="2A8A6543"/>
    <w:rsid w:val="2B1F451B"/>
    <w:rsid w:val="2D6206D4"/>
    <w:rsid w:val="2D655342"/>
    <w:rsid w:val="2FE7183F"/>
    <w:rsid w:val="30853164"/>
    <w:rsid w:val="30AB40A9"/>
    <w:rsid w:val="34405344"/>
    <w:rsid w:val="34E52060"/>
    <w:rsid w:val="38754C18"/>
    <w:rsid w:val="3DBA5BC3"/>
    <w:rsid w:val="3E3E281B"/>
    <w:rsid w:val="3EA31DB3"/>
    <w:rsid w:val="3EAF7B42"/>
    <w:rsid w:val="42D44BC5"/>
    <w:rsid w:val="44645DF1"/>
    <w:rsid w:val="4632212B"/>
    <w:rsid w:val="49EB09D0"/>
    <w:rsid w:val="4C850E12"/>
    <w:rsid w:val="4DAF3D31"/>
    <w:rsid w:val="51426AF5"/>
    <w:rsid w:val="51D43526"/>
    <w:rsid w:val="522E02EA"/>
    <w:rsid w:val="548D4DBF"/>
    <w:rsid w:val="575C2D03"/>
    <w:rsid w:val="599A2CAB"/>
    <w:rsid w:val="59F03EC2"/>
    <w:rsid w:val="5F1E6D59"/>
    <w:rsid w:val="648E0EEA"/>
    <w:rsid w:val="65E338B8"/>
    <w:rsid w:val="66D65D95"/>
    <w:rsid w:val="67576BA1"/>
    <w:rsid w:val="68C033F6"/>
    <w:rsid w:val="69CC62F3"/>
    <w:rsid w:val="6A654C15"/>
    <w:rsid w:val="6ABA3446"/>
    <w:rsid w:val="6B48600F"/>
    <w:rsid w:val="6E634BDC"/>
    <w:rsid w:val="6E6660EF"/>
    <w:rsid w:val="71772A86"/>
    <w:rsid w:val="7D0E7337"/>
    <w:rsid w:val="7F874BB8"/>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3</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2020-01-22T08:47:00Z</cp:lastPrinted>
  <dcterms:modified xsi:type="dcterms:W3CDTF">2020-11-02T08:53:37Z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