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惠州市惠城区水口青塘湖片区</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JD-106-03、JD-112-02、JD-112-04、JD-117-14</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PB20200115</w:t>
      </w:r>
      <w:r>
        <w:rPr>
          <w:rFonts w:hint="eastAsia" w:ascii="仿宋_GB2312" w:hAnsi="仿宋_GB2312" w:eastAsia="仿宋_GB2312" w:cs="仿宋_GB2312"/>
          <w:sz w:val="32"/>
          <w:szCs w:val="32"/>
        </w:rPr>
        <w:t>）规定为准；</w:t>
      </w:r>
    </w:p>
    <w:p>
      <w:pPr>
        <w:ind w:firstLine="320" w:firstLineChars="100"/>
      </w:pPr>
      <w:r>
        <w:rPr>
          <w:rFonts w:hint="eastAsia" w:ascii="仿宋_GB2312" w:hAnsi="仿宋_GB2312" w:eastAsia="仿宋_GB2312" w:cs="仿宋_GB2312"/>
          <w:sz w:val="32"/>
          <w:szCs w:val="32"/>
        </w:rPr>
        <w:t>（五）宗地使用权面积为：</w:t>
      </w:r>
      <w:r>
        <w:rPr>
          <w:rFonts w:hint="eastAsia" w:ascii="仿宋_GB2312" w:hAnsi="仿宋_GB2312" w:eastAsia="仿宋_GB2312" w:cs="仿宋_GB2312"/>
          <w:sz w:val="32"/>
          <w:szCs w:val="32"/>
          <w:lang w:val="en-US" w:eastAsia="zh-CN"/>
        </w:rPr>
        <w:t>JD-106-03：53068</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JD-112-02：51524平方米；JD-112-04：33205平方米；JD-117-14：57194平方米；</w:t>
      </w:r>
    </w:p>
    <w:p>
      <w:pPr>
        <w:ind w:firstLine="320" w:firstLineChars="100"/>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JD-106-03：65365</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JD-112-02：65856平方米；JD-112-04：44298平方米；JD-117-14：76103平方米；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JD-106-03：117657-228777</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JD-112-02：118541-230496平方米；JD-112-04：79737-155043平方米；JD-117-14：136986-266360平方米；</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eastAsia="zh-CN"/>
        </w:rPr>
        <w:t>一类工业用地</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w:t>
      </w:r>
      <w:r>
        <w:rPr>
          <w:rFonts w:hint="eastAsia" w:ascii="仿宋_GB2312" w:hAnsi="仿宋_GB2312" w:eastAsia="仿宋_GB2312" w:cs="仿宋_GB2312"/>
          <w:sz w:val="32"/>
          <w:szCs w:val="32"/>
          <w:lang w:val="en-US" w:eastAsia="zh-CN"/>
        </w:rPr>
        <w:t>为：1.8-3.5</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（十一）绿地率为:</w:t>
      </w:r>
      <w:r>
        <w:rPr>
          <w:rFonts w:hint="eastAsia" w:ascii="仿宋_GB2312" w:hAnsi="仿宋_GB2312" w:eastAsia="仿宋_GB2312" w:cs="仿宋_GB2312"/>
          <w:sz w:val="32"/>
          <w:szCs w:val="32"/>
          <w:lang w:val="en-US" w:eastAsia="zh-CN"/>
        </w:rPr>
        <w:t xml:space="preserve"> 15-20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（十二）建筑密度为</w:t>
      </w:r>
      <w:r>
        <w:rPr>
          <w:rFonts w:hint="eastAsia" w:ascii="仿宋_GB2312" w:hAnsi="仿宋_GB2312" w:eastAsia="仿宋_GB2312" w:cs="仿宋_GB2312"/>
          <w:sz w:val="32"/>
          <w:szCs w:val="32"/>
          <w:lang w:val="en-US" w:eastAsia="zh-CN"/>
        </w:rPr>
        <w:t>: ≥30</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val="en-US" w:eastAsia="zh-CN"/>
        </w:rPr>
        <w:t>：每100平方米计容积率面积≥1个；</w:t>
      </w:r>
    </w:p>
    <w:p>
      <w:pPr>
        <w:ind w:firstLine="320" w:firstLineChars="100"/>
        <w:rPr>
          <w:rFonts w:hint="eastAsia"/>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）产业类</w:t>
      </w:r>
      <w:r>
        <w:rPr>
          <w:rFonts w:hint="eastAsia" w:ascii="仿宋_GB2312" w:hAnsi="仿宋_GB2312" w:eastAsia="仿宋_GB2312" w:cs="仿宋_GB2312"/>
          <w:sz w:val="32"/>
          <w:szCs w:val="32"/>
          <w:lang w:val="en-US" w:eastAsia="zh-CN"/>
        </w:rPr>
        <w:t>型：开发区、产业集聚区配套公共服务平台建设与服务业用地；</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适建性：工业厂房及配套设施；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）土地交付使用时间为《国有建设用地使用权出让合同》签订之日。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30亿</w:t>
      </w:r>
      <w:r>
        <w:rPr>
          <w:rFonts w:hint="eastAsia" w:ascii="仿宋_GB2312" w:hAnsi="仿宋_GB2312" w:eastAsia="仿宋_GB2312" w:cs="仿宋_GB2312"/>
          <w:sz w:val="32"/>
          <w:szCs w:val="32"/>
        </w:rPr>
        <w:t>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ind w:firstLine="640" w:firstLineChars="200"/>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spacing w:line="60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）竞买人须提交惠城区发改局出具的与该宗地块规划确定的产业类型一致的优先发展产业项目文件</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w:t>
      </w:r>
      <w:r>
        <w:rPr>
          <w:rFonts w:hint="eastAsia" w:ascii="仿宋_GB2312" w:hAnsi="仿宋_GB2312" w:eastAsia="仿宋_GB2312" w:cs="仿宋_GB2312"/>
          <w:kern w:val="0"/>
          <w:sz w:val="32"/>
          <w:szCs w:val="32"/>
          <w:lang w:val="en-US" w:eastAsia="zh-CN" w:bidi="ar-SA"/>
        </w:rPr>
        <w:t>竞得人在用地红线内开发建设必须符合城市规划要求，必须按上述建设方案的要求进行规划设计。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方案的主要技术经济指标：JD-106-03地块计算指标用地面积65365平方米，计容积率建筑面积198204.76平方米，容积率3.0，基底面积23393.7平方米，建筑密度35.8％，绿地率17.3％，机动车停车位571个（地面161个，地下410个）；JD-112-02地块计算指标用地面积65856平方米，计容积率建筑面积204900.22平方米，容积率3.1，基底面积24901.07平方米，建筑密度37.8％，绿地率15.9％，机动车停车位627个（地面82个，地下545个）；JD-112-04地块计算指标用地面积44298平方米，计容积率建筑面积140977.84平方米，容积率3.2，基底面积15696.92平方米，建筑密度35.4％，绿地率20％，机动车停车位378个（地面20个，地下358个）；JD-117-14地块计算指标用地面积76103平方米，计容积率建筑面积228369.72平方米，容积率3.0，基底面积23799.82平方米，建筑密度31.3％，绿地率19.4％，机动车停车位764个（地面152个，地下612个）。所报方案符合《建设用地规划设计条件》（案卷编号：PB20200115号）相关技术经济指标要求，同意所报总平面图和单体建筑设计方案，须按程序进行公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投资规模不低于30亿元，投资强度不低于1.2亿元/公顷，土地产出率（营业收入）不低于2.25亿元/公顷/年，税收产出不低于0.12亿元/公顷/年。其中，土地产出率及税收产出，在项目投产后3年内逐年考核，3年内的平均值不得低于上述标准。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numPr>
          <w:ilvl w:val="0"/>
          <w:numId w:val="0"/>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7383</w:t>
      </w:r>
      <w:bookmarkStart w:id="3" w:name="_GoBack"/>
      <w:bookmarkEnd w:id="3"/>
      <w:r>
        <w:rPr>
          <w:rFonts w:hint="eastAsia" w:ascii="仿宋_GB2312" w:hAnsi="仿宋_GB2312" w:eastAsia="仿宋_GB2312" w:cs="仿宋_GB2312"/>
          <w:sz w:val="32"/>
          <w:szCs w:val="32"/>
        </w:rPr>
        <w:t>万元民币。</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贰亿肆仟陆佰壹拾万元整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24610</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lang w:val="en-US" w:eastAsia="zh-CN"/>
        </w:rPr>
        <w:t>1262</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贰佰</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26</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柒仟叁</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7383</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（五）竞买保证金到账时间以网上挂牌交易系统颁发《保证金到账通知书》为准。</w:t>
      </w:r>
    </w:p>
    <w:p>
      <w:pPr>
        <w:ind w:left="0" w:leftChars="0" w:firstLine="217" w:firstLineChars="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217" w:firstLineChars="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0" w:firstLineChars="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160" w:firstLineChars="1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26A42ED"/>
    <w:rsid w:val="045E583B"/>
    <w:rsid w:val="04C70F8F"/>
    <w:rsid w:val="082A509A"/>
    <w:rsid w:val="08CC04B9"/>
    <w:rsid w:val="0A9146C8"/>
    <w:rsid w:val="0FC14B9A"/>
    <w:rsid w:val="0FED08F4"/>
    <w:rsid w:val="14EB677C"/>
    <w:rsid w:val="17311417"/>
    <w:rsid w:val="18510C91"/>
    <w:rsid w:val="197922CB"/>
    <w:rsid w:val="19EC532C"/>
    <w:rsid w:val="1A0F136F"/>
    <w:rsid w:val="1A9709DD"/>
    <w:rsid w:val="1AEE2345"/>
    <w:rsid w:val="1BA77990"/>
    <w:rsid w:val="1CC405AD"/>
    <w:rsid w:val="1E3A71D7"/>
    <w:rsid w:val="1E6D6470"/>
    <w:rsid w:val="1F892EAA"/>
    <w:rsid w:val="201E409D"/>
    <w:rsid w:val="23D15B78"/>
    <w:rsid w:val="248C1BCA"/>
    <w:rsid w:val="26D60318"/>
    <w:rsid w:val="26DE56F6"/>
    <w:rsid w:val="27ED5E1D"/>
    <w:rsid w:val="2EFF4F87"/>
    <w:rsid w:val="30E22562"/>
    <w:rsid w:val="316A656E"/>
    <w:rsid w:val="31F23704"/>
    <w:rsid w:val="34CD2093"/>
    <w:rsid w:val="359D0CEF"/>
    <w:rsid w:val="3C995B83"/>
    <w:rsid w:val="3F9E57C9"/>
    <w:rsid w:val="3FD02C50"/>
    <w:rsid w:val="44767DC8"/>
    <w:rsid w:val="46EA33FE"/>
    <w:rsid w:val="49B75817"/>
    <w:rsid w:val="4F60034F"/>
    <w:rsid w:val="53C61D5C"/>
    <w:rsid w:val="54BB1214"/>
    <w:rsid w:val="554A25F8"/>
    <w:rsid w:val="56435259"/>
    <w:rsid w:val="56866DDC"/>
    <w:rsid w:val="5D00395E"/>
    <w:rsid w:val="5DC51E85"/>
    <w:rsid w:val="5F035FEE"/>
    <w:rsid w:val="60E50A21"/>
    <w:rsid w:val="6105218D"/>
    <w:rsid w:val="630A366A"/>
    <w:rsid w:val="641A082A"/>
    <w:rsid w:val="69353F2C"/>
    <w:rsid w:val="69F51B6E"/>
    <w:rsid w:val="6A27187C"/>
    <w:rsid w:val="6B1A192E"/>
    <w:rsid w:val="6BD979AB"/>
    <w:rsid w:val="6BDC7DA2"/>
    <w:rsid w:val="6ED55099"/>
    <w:rsid w:val="6ED7778D"/>
    <w:rsid w:val="6F1F3CC6"/>
    <w:rsid w:val="77044612"/>
    <w:rsid w:val="7ACF50E2"/>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696969"/>
      <w:u w:val="single"/>
    </w:rPr>
  </w:style>
  <w:style w:type="character" w:styleId="7">
    <w:name w:val="Hyperlink"/>
    <w:basedOn w:val="5"/>
    <w:qFormat/>
    <w:uiPriority w:val="0"/>
    <w:rPr>
      <w:color w:val="696969"/>
      <w:u w:val="single"/>
    </w:rPr>
  </w:style>
  <w:style w:type="character" w:customStyle="1" w:styleId="9">
    <w:name w:val="页脚 Char"/>
    <w:basedOn w:val="5"/>
    <w:link w:val="3"/>
    <w:qFormat/>
    <w:uiPriority w:val="99"/>
    <w:rPr>
      <w:rFonts w:asciiTheme="minorHAnsi" w:hAnsiTheme="minorHAnsi" w:eastAsiaTheme="minorEastAsia" w:cstheme="minorBidi"/>
      <w:kern w:val="2"/>
      <w:sz w:val="18"/>
      <w:szCs w:val="24"/>
    </w:rPr>
  </w:style>
  <w:style w:type="character" w:customStyle="1" w:styleId="10">
    <w:name w:val="t-link52"/>
    <w:basedOn w:val="5"/>
    <w:qFormat/>
    <w:uiPriority w:val="0"/>
  </w:style>
  <w:style w:type="character" w:customStyle="1" w:styleId="11">
    <w:name w:val="t-in2"/>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19</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2020-09-02T08:26:00Z</cp:lastPrinted>
  <dcterms:modified xsi:type="dcterms:W3CDTF">2020-10-23T03:23:35Z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