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600" w:lineRule="exact"/>
        <w:jc w:val="center"/>
        <w:rPr>
          <w:rFonts w:ascii="方正小标宋_GBK" w:hAnsi="华文中宋" w:eastAsia="方正小标宋_GBK"/>
          <w:b/>
          <w:bCs/>
          <w:spacing w:val="3"/>
          <w:sz w:val="44"/>
          <w:szCs w:val="44"/>
        </w:rPr>
      </w:pPr>
      <w:r>
        <w:rPr>
          <w:rFonts w:hint="eastAsia" w:ascii="方正小标宋_GBK" w:hAnsi="华文中宋" w:eastAsia="方正小标宋_GBK"/>
          <w:b/>
          <w:bCs/>
          <w:spacing w:val="3"/>
          <w:sz w:val="44"/>
          <w:szCs w:val="44"/>
        </w:rPr>
        <w:t>惠州市国有建设用地使用权</w:t>
      </w:r>
    </w:p>
    <w:p>
      <w:pPr>
        <w:tabs>
          <w:tab w:val="left" w:pos="11340"/>
        </w:tabs>
        <w:spacing w:line="600" w:lineRule="exact"/>
        <w:jc w:val="center"/>
        <w:rPr>
          <w:rFonts w:ascii="方正小标宋_GBK" w:eastAsia="方正小标宋_GBK"/>
          <w:b/>
          <w:bCs/>
          <w:spacing w:val="3"/>
          <w:sz w:val="48"/>
        </w:rPr>
      </w:pPr>
      <w:r>
        <w:rPr>
          <w:rFonts w:hint="eastAsia" w:ascii="方正小标宋_GBK" w:hAnsi="华文中宋" w:eastAsia="方正小标宋_GBK"/>
          <w:b/>
          <w:bCs/>
          <w:spacing w:val="3"/>
          <w:sz w:val="44"/>
          <w:szCs w:val="44"/>
        </w:rPr>
        <w:t>网上挂牌</w:t>
      </w:r>
      <w:r>
        <w:rPr>
          <w:rFonts w:hint="eastAsia" w:ascii="方正小标宋_GBK" w:hAnsi="华文中宋" w:eastAsia="方正小标宋_GBK"/>
          <w:b/>
          <w:bCs/>
          <w:sz w:val="44"/>
          <w:szCs w:val="44"/>
        </w:rPr>
        <w:t>出让须知</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20</w:t>
      </w:r>
      <w:bookmarkStart w:id="8" w:name="_GoBack"/>
      <w:bookmarkEnd w:id="8"/>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中华人民共和国土地管理法》、《中华人民共和国城市房地产管理法》、《招标拍卖挂牌出让国有建设用地使用权规定》以及《招标拍卖挂牌出让国有土地使用权规范》等有关规定，经惠州市人民政府批准，受惠州市自然资源局委托，本中心以网上挂牌交易方式出让下列国有建设用地使用权。</w:t>
      </w:r>
      <w:bookmarkStart w:id="0" w:name="99"/>
      <w:bookmarkEnd w:id="0"/>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一、本次国有建设用地使用权网上挂牌出让的出让人为惠州市自然资源局，具体组织实施由惠州市公共资源交易中心承办。</w:t>
      </w:r>
      <w:bookmarkStart w:id="1" w:name="100"/>
      <w:bookmarkEnd w:id="1"/>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（一）挂牌地块编号：GP20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（二）地块位置：惠州市惠城区鹿江沥南岸;</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（三）规划编号：LJL38-11-01;</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（四）地块范围：平面界址点以宗地图为准，宗地竖向界限以《规划条件告知书》(案卷编号: </w:t>
      </w:r>
      <w:r>
        <w:rPr>
          <w:rFonts w:hint="eastAsia" w:ascii="仿宋_GB2312" w:hAnsi="仿宋" w:eastAsia="仿宋_GB2312" w:cs="仿宋_GB2312"/>
          <w:sz w:val="32"/>
          <w:szCs w:val="32"/>
        </w:rPr>
        <w:t>PB20</w:t>
      </w:r>
      <w:r>
        <w:rPr>
          <w:rFonts w:hint="eastAsia" w:ascii="仿宋_GB2312" w:hAnsi="仿宋" w:eastAsia="仿宋_GB2312" w:cs="仿宋_GB2312"/>
          <w:sz w:val="32"/>
          <w:szCs w:val="32"/>
          <w:lang w:val="en-US" w:eastAsia="zh-CN"/>
        </w:rPr>
        <w:t>200012</w:t>
      </w:r>
      <w:r>
        <w:rPr>
          <w:rFonts w:hint="eastAsia" w:ascii="仿宋_GB2312" w:hAnsi="仿宋_GB2312" w:eastAsia="仿宋_GB2312" w:cs="仿宋_GB2312"/>
          <w:sz w:val="32"/>
          <w:szCs w:val="32"/>
        </w:rPr>
        <w:t>号) （以下简称“《告知书》”）规定为准；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（五）宗地使用权面积为：</w:t>
      </w:r>
      <w:r>
        <w:rPr>
          <w:rFonts w:hint="eastAsia" w:ascii="仿宋_GB2312" w:hAnsi="仿宋_GB2312" w:eastAsia="仿宋_GB2312" w:cs="仿宋_GB2312"/>
          <w:sz w:val="32"/>
          <w:szCs w:val="32"/>
          <w:lang w:val="en-US" w:eastAsia="zh-CN"/>
        </w:rPr>
        <w:t>87440.95</w:t>
      </w:r>
      <w:r>
        <w:rPr>
          <w:rFonts w:hint="eastAsia" w:ascii="仿宋_GB2312" w:hAnsi="仿宋_GB2312" w:eastAsia="仿宋_GB2312" w:cs="仿宋_GB2312"/>
          <w:sz w:val="32"/>
          <w:szCs w:val="32"/>
        </w:rPr>
        <w:t>平方米；</w:t>
      </w:r>
    </w:p>
    <w:p>
      <w:r>
        <w:rPr>
          <w:rFonts w:hint="eastAsia" w:ascii="仿宋_GB2312" w:hAnsi="仿宋_GB2312" w:eastAsia="仿宋_GB2312" w:cs="仿宋_GB2312"/>
          <w:sz w:val="32"/>
          <w:szCs w:val="32"/>
        </w:rPr>
        <w:t xml:space="preserve">   （六）计算指标用地面积为：</w:t>
      </w:r>
      <w:r>
        <w:rPr>
          <w:rFonts w:hint="eastAsia" w:ascii="仿宋_GB2312" w:hAnsi="仿宋_GB2312" w:eastAsia="仿宋_GB2312" w:cs="仿宋_GB2312"/>
          <w:sz w:val="32"/>
          <w:szCs w:val="32"/>
          <w:lang w:val="en-US" w:eastAsia="zh-CN"/>
        </w:rPr>
        <w:t>118879.54</w:t>
      </w:r>
      <w:r>
        <w:rPr>
          <w:rFonts w:hint="eastAsia" w:ascii="仿宋_GB2312" w:hAnsi="仿宋_GB2312" w:eastAsia="仿宋_GB2312" w:cs="仿宋_GB2312"/>
          <w:sz w:val="32"/>
          <w:szCs w:val="32"/>
        </w:rPr>
        <w:t>平方米；</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（七）计容积率建筑面积为：≤</w:t>
      </w:r>
      <w:r>
        <w:rPr>
          <w:rFonts w:hint="eastAsia" w:ascii="仿宋_GB2312" w:hAnsi="仿宋_GB2312" w:eastAsia="仿宋_GB2312" w:cs="仿宋_GB2312"/>
          <w:sz w:val="32"/>
          <w:szCs w:val="32"/>
          <w:lang w:val="en-US" w:eastAsia="zh-CN"/>
        </w:rPr>
        <w:t>351540平方米(其中：商业建筑面积≤5%，配套设施建筑面积&gt;8037㎡</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（八）机动车停车位: </w:t>
      </w:r>
      <w:r>
        <w:rPr>
          <w:rFonts w:hint="eastAsia" w:ascii="仿宋_GB2312" w:hAnsi="仿宋_GB2312" w:eastAsia="仿宋_GB2312" w:cs="仿宋_GB2312"/>
          <w:sz w:val="32"/>
          <w:szCs w:val="32"/>
          <w:lang w:val="en-US" w:eastAsia="zh-CN"/>
        </w:rPr>
        <w:t>每100㎡计容积率面积≥1个，幼儿园行政管理办公用房每100平方米计容积率建筑面积≥1个</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（九）土地用途为：</w:t>
      </w:r>
      <w:r>
        <w:rPr>
          <w:rFonts w:hint="default" w:ascii="仿宋_GB2312" w:hAnsi="仿宋_GB2312" w:eastAsia="仿宋_GB2312" w:cs="仿宋_GB2312"/>
          <w:sz w:val="32"/>
          <w:szCs w:val="32"/>
          <w:lang w:eastAsia="zh-CN"/>
        </w:rPr>
        <w:t>住宅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商服</w:t>
      </w:r>
      <w:r>
        <w:rPr>
          <w:rFonts w:hint="default" w:ascii="仿宋_GB2312" w:hAnsi="仿宋_GB2312" w:eastAsia="仿宋_GB2312" w:cs="仿宋_GB2312"/>
          <w:sz w:val="32"/>
          <w:szCs w:val="32"/>
          <w:lang w:eastAsia="zh-CN"/>
        </w:rPr>
        <w:t>用地</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（十）土地使用权出让年期为：住宅用地70年，商服用地40年；</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（十一）容积率为：≤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 xml:space="preserve">；  </w:t>
      </w:r>
    </w:p>
    <w:p>
      <w:pPr>
        <w:spacing w:line="560" w:lineRule="exact"/>
        <w:ind w:firstLine="480" w:firstLineChars="150"/>
        <w:rPr>
          <w:rFonts w:hint="eastAsia" w:ascii="仿宋_GB2312" w:eastAsia="仿宋_GB2312" w:cs="Times New Roman"/>
          <w:sz w:val="32"/>
          <w:szCs w:val="32"/>
        </w:rPr>
      </w:pPr>
      <w:r>
        <w:rPr>
          <w:rFonts w:hint="eastAsia" w:ascii="仿宋_GB2312" w:hAnsi="仿宋_GB2312" w:eastAsia="仿宋_GB2312" w:cs="仿宋_GB2312"/>
          <w:sz w:val="32"/>
          <w:szCs w:val="32"/>
        </w:rPr>
        <w:t>（十二）</w:t>
      </w:r>
      <w:r>
        <w:rPr>
          <w:rFonts w:hint="eastAsia" w:ascii="仿宋_GB2312" w:eastAsia="仿宋_GB2312"/>
          <w:sz w:val="32"/>
          <w:szCs w:val="32"/>
        </w:rPr>
        <w:t>建筑密度为：</w:t>
      </w:r>
      <w:r>
        <w:rPr>
          <w:rFonts w:hint="eastAsia" w:ascii="仿宋_GB2312" w:hAnsi="仿宋_GB2312" w:eastAsia="仿宋_GB2312" w:cs="仿宋_GB2312"/>
          <w:sz w:val="32"/>
          <w:szCs w:val="32"/>
        </w:rPr>
        <w:t>≤</w:t>
      </w:r>
      <w:r>
        <w:rPr>
          <w:rFonts w:hint="eastAsia" w:ascii="仿宋_GB2312" w:eastAsia="仿宋_GB2312" w:cs="Times New Roman"/>
          <w:sz w:val="32"/>
          <w:szCs w:val="32"/>
          <w:lang w:val="en-US" w:eastAsia="zh-CN"/>
        </w:rPr>
        <w:t>30</w:t>
      </w:r>
      <w:r>
        <w:rPr>
          <w:rFonts w:hint="eastAsia" w:ascii="仿宋_GB2312" w:eastAsia="仿宋_GB2312" w:cs="Times New Roman"/>
          <w:sz w:val="32"/>
          <w:szCs w:val="32"/>
        </w:rPr>
        <w:t>%</w:t>
      </w:r>
      <w:r>
        <w:rPr>
          <w:rFonts w:hint="default" w:ascii="仿宋_GB2312" w:eastAsia="仿宋_GB2312" w:cs="Times New Roman"/>
          <w:sz w:val="32"/>
          <w:szCs w:val="32"/>
          <w:lang w:val="en-US" w:eastAsia="zh-CN"/>
        </w:rPr>
        <w:t>（其中住宅建筑密度</w:t>
      </w:r>
      <w:r>
        <w:rPr>
          <w:rFonts w:hint="eastAsia" w:ascii="仿宋_GB2312" w:hAnsi="仿宋_GB2312" w:eastAsia="仿宋_GB2312" w:cs="仿宋_GB2312"/>
          <w:sz w:val="32"/>
          <w:szCs w:val="32"/>
        </w:rPr>
        <w:t>≤</w:t>
      </w:r>
      <w:r>
        <w:rPr>
          <w:rFonts w:hint="default" w:ascii="仿宋_GB2312" w:eastAsia="仿宋_GB2312" w:cs="Times New Roman"/>
          <w:sz w:val="32"/>
          <w:szCs w:val="32"/>
          <w:lang w:val="en-US" w:eastAsia="zh-CN"/>
        </w:rPr>
        <w:t>22</w:t>
      </w:r>
      <w:r>
        <w:rPr>
          <w:rFonts w:hint="eastAsia" w:ascii="仿宋_GB2312" w:eastAsia="仿宋_GB2312" w:cs="Times New Roman"/>
          <w:sz w:val="32"/>
          <w:szCs w:val="32"/>
        </w:rPr>
        <w:t>%</w:t>
      </w:r>
      <w:r>
        <w:rPr>
          <w:rFonts w:hint="eastAsia" w:ascii="仿宋_GB2312" w:eastAsia="仿宋_GB2312" w:cs="Times New Roman"/>
          <w:sz w:val="32"/>
          <w:szCs w:val="32"/>
          <w:lang w:eastAsia="zh-CN"/>
        </w:rPr>
        <w:t>）</w:t>
      </w:r>
      <w:r>
        <w:rPr>
          <w:rFonts w:hint="eastAsia" w:ascii="仿宋_GB2312" w:eastAsia="仿宋_GB2312" w:cs="Times New Roman"/>
          <w:sz w:val="32"/>
          <w:szCs w:val="32"/>
        </w:rPr>
        <w:t>；</w:t>
      </w:r>
    </w:p>
    <w:p>
      <w:pPr>
        <w:spacing w:line="560" w:lineRule="exact"/>
        <w:ind w:firstLine="480" w:firstLineChars="150"/>
        <w:rPr>
          <w:rFonts w:hint="eastAsia" w:ascii="仿宋_GB2312" w:eastAsia="仿宋_GB2312" w:cs="Times New Roman"/>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）绿地率为：≥</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w:t>
      </w:r>
    </w:p>
    <w:p>
      <w:pPr>
        <w:rPr>
          <w:rFonts w:hint="eastAsia" w:ascii="仿宋_GB2312" w:eastAsia="仿宋_GB2312" w:cs="Times New Roman"/>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）适建性：</w:t>
      </w:r>
      <w:r>
        <w:rPr>
          <w:rFonts w:hint="default" w:ascii="仿宋_GB2312" w:eastAsia="仿宋_GB2312" w:cs="Times New Roman"/>
          <w:sz w:val="32"/>
          <w:szCs w:val="32"/>
        </w:rPr>
        <w:t>住宅和商业及配套设施</w:t>
      </w:r>
      <w:r>
        <w:rPr>
          <w:rFonts w:hint="eastAsia" w:ascii="仿宋_GB2312" w:eastAsia="仿宋_GB2312" w:cs="Times New Roman"/>
          <w:sz w:val="32"/>
          <w:szCs w:val="32"/>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 动工及竣工时间：该地块的动工时间为地块交付之日起一年内，竣工时间为动工之日起三年内（因不可抗拒因素除外）；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）竞得人在缴清地价款后</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rPr>
        <w:t>个月内办理交地手续，凭《交地确认书》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出让合同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和地价款交款凭证</w:t>
      </w:r>
      <w:r>
        <w:rPr>
          <w:rFonts w:hint="eastAsia" w:ascii="仿宋_GB2312" w:hAnsi="仿宋_GB2312" w:eastAsia="仿宋_GB2312" w:cs="仿宋_GB2312"/>
          <w:sz w:val="32"/>
          <w:szCs w:val="32"/>
        </w:rPr>
        <w:t>等申请办理土地初始登记，领取《不动产权证书》。</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 w:eastAsia="仿宋_GB2312"/>
          <w:sz w:val="32"/>
          <w:szCs w:val="32"/>
          <w:lang w:val="en-US" w:eastAsia="zh-CN"/>
        </w:rPr>
        <w:t>326940</w:t>
      </w:r>
      <w:r>
        <w:rPr>
          <w:rFonts w:hint="eastAsia" w:ascii="仿宋_GB2312" w:hAnsi="仿宋_GB2312" w:eastAsia="仿宋_GB2312" w:cs="仿宋_GB2312"/>
          <w:sz w:val="32"/>
          <w:szCs w:val="32"/>
        </w:rPr>
        <w:t>万元（含地价,不含</w:t>
      </w:r>
      <w:r>
        <w:rPr>
          <w:rFonts w:ascii="仿宋_GB2312" w:hAnsi="仿宋_GB2312" w:eastAsia="仿宋_GB2312" w:cs="仿宋_GB2312"/>
          <w:sz w:val="32"/>
          <w:szCs w:val="32"/>
        </w:rPr>
        <w:t>地价溢价部分</w:t>
      </w:r>
      <w:r>
        <w:rPr>
          <w:rFonts w:hint="eastAsia"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（三）该地权利清晰，安置补偿落实到位，没有法律经济纠纷，具备动工开发所必须的基本条件。</w:t>
      </w:r>
    </w:p>
    <w:p>
      <w:pPr>
        <w:pStyle w:val="2"/>
        <w:widowControl w:val="0"/>
        <w:spacing w:line="560" w:lineRule="exact"/>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（四）竞得人在用地红线内开发建设必须符合城市规划要求，必须按《告知书》（案卷编号：PB20200012）规划控制指标要求及有关规定进行规划设计</w:t>
      </w:r>
      <w:r>
        <w:rPr>
          <w:rFonts w:hint="eastAsia" w:hAnsi="仿宋_GB2312" w:cs="仿宋_GB2312"/>
          <w:kern w:val="2"/>
          <w:sz w:val="32"/>
          <w:szCs w:val="32"/>
          <w:lang w:val="en-US" w:eastAsia="zh-CN" w:bidi="ar-SA"/>
        </w:rPr>
        <w:t>。</w:t>
      </w:r>
    </w:p>
    <w:p>
      <w:pPr>
        <w:keepNext w:val="0"/>
        <w:keepLines w:val="0"/>
        <w:pageBreakBefore w:val="0"/>
        <w:kinsoku/>
        <w:wordWrap/>
        <w:overflowPunct/>
        <w:topLinePunct w:val="0"/>
        <w:bidi w:val="0"/>
        <w:spacing w:line="560" w:lineRule="exact"/>
        <w:ind w:firstLine="627" w:firstLineChars="196"/>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（五）取得LJL38-11-01土地使用权者负责地块内的密路网（包括雨水管和污水管）建设，建成后无偿交给市政工程行政主管部门管理，并开放给公众使用。</w:t>
      </w:r>
    </w:p>
    <w:p>
      <w:pPr>
        <w:keepNext w:val="0"/>
        <w:keepLines w:val="0"/>
        <w:pageBreakBefore w:val="0"/>
        <w:kinsoku/>
        <w:wordWrap/>
        <w:overflowPunct/>
        <w:topLinePunct w:val="0"/>
        <w:bidi w:val="0"/>
        <w:spacing w:line="560" w:lineRule="exact"/>
        <w:ind w:firstLine="627" w:firstLineChars="196"/>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LJL-38-11-01地块内的配套幼儿园用地，在办理用地供地手续时，应将整个地块办理出让手续，在出让合同中明确由地块使用权人按照规划要求和惠城区教育局提出的建设标准完成配套幼儿园建设并无偿移交，不动产登记部门在办理分割登记时，将幼儿园办至惠城区教育局名下。</w:t>
      </w:r>
    </w:p>
    <w:p>
      <w:pPr>
        <w:keepNext w:val="0"/>
        <w:keepLines w:val="0"/>
        <w:pageBreakBefore w:val="0"/>
        <w:kinsoku/>
        <w:wordWrap/>
        <w:overflowPunct/>
        <w:topLinePunct w:val="0"/>
        <w:bidi w:val="0"/>
        <w:spacing w:line="560" w:lineRule="exact"/>
        <w:ind w:firstLine="627" w:firstLineChars="196"/>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（七）LJL-38-11-01地块中部建筑红线外的用地，属于非建设用地，应遵循保持原有土地利用规划用途的原则，用于绿化美化环境，并作为公共开敞空间。</w:t>
      </w:r>
    </w:p>
    <w:p>
      <w:pPr>
        <w:keepNext w:val="0"/>
        <w:keepLines w:val="0"/>
        <w:pageBreakBefore w:val="0"/>
        <w:kinsoku/>
        <w:wordWrap/>
        <w:overflowPunct/>
        <w:topLinePunct w:val="0"/>
        <w:autoSpaceDE w:val="0"/>
        <w:autoSpaceDN w:val="0"/>
        <w:bidi w:val="0"/>
        <w:spacing w:line="560" w:lineRule="exact"/>
        <w:ind w:firstLine="63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（八）取得LJL-38-11-01土地使用权人应按照《规划设计条件告知书》的规划要求配建相关的配套设施。</w:t>
      </w:r>
    </w:p>
    <w:p>
      <w:pPr>
        <w:tabs>
          <w:tab w:val="left" w:pos="3388"/>
        </w:tabs>
        <w:spacing w:line="560" w:lineRule="exact"/>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五、竞买资格及要求</w:t>
      </w:r>
    </w:p>
    <w:p>
      <w:pPr>
        <w:tabs>
          <w:tab w:val="left" w:pos="3388"/>
        </w:tabs>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中华人民共和国境内外的法人、自然人和其他组织（除法律法规另有规定外），均可申请参加竞买。申请人可以单独申请，也可以联合申请。申请人还应具备下列条件：</w:t>
      </w:r>
    </w:p>
    <w:p>
      <w:pPr>
        <w:tabs>
          <w:tab w:val="left" w:pos="3388"/>
        </w:tabs>
        <w:spacing w:line="560" w:lineRule="exact"/>
        <w:ind w:firstLine="480" w:firstLineChars="1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（一）按时，足额交纳竞买保证金。该宗地竞买保证金可用人民币或外币（暂限于美元、港币）支付。以人民币缴交竞买保证金的，须缴交人民币</w:t>
      </w:r>
      <w:r>
        <w:rPr>
          <w:rFonts w:hint="eastAsia" w:ascii="仿宋_GB2312" w:hAnsi="仿宋_GB2312" w:eastAsia="仿宋_GB2312" w:cs="仿宋_GB2312"/>
          <w:kern w:val="0"/>
          <w:sz w:val="32"/>
          <w:szCs w:val="32"/>
          <w:lang w:val="en-US" w:eastAsia="zh-CN"/>
        </w:rPr>
        <w:t>40780</w:t>
      </w:r>
      <w:r>
        <w:rPr>
          <w:rFonts w:hint="eastAsia" w:ascii="仿宋_GB2312" w:hAnsi="仿宋_GB2312" w:eastAsia="仿宋_GB2312" w:cs="仿宋_GB2312"/>
          <w:kern w:val="0"/>
          <w:sz w:val="32"/>
          <w:szCs w:val="32"/>
        </w:rPr>
        <w:t>万元，如以外币缴交竞买保证金的，须缴交美元</w:t>
      </w:r>
      <w:r>
        <w:rPr>
          <w:rFonts w:hint="eastAsia" w:ascii="仿宋_GB2312" w:hAnsi="仿宋_GB2312" w:eastAsia="仿宋_GB2312" w:cs="仿宋_GB2312"/>
          <w:kern w:val="0"/>
          <w:sz w:val="32"/>
          <w:szCs w:val="32"/>
          <w:lang w:val="en-US" w:eastAsia="zh-CN"/>
        </w:rPr>
        <w:t>5772</w:t>
      </w:r>
      <w:r>
        <w:rPr>
          <w:rFonts w:hint="eastAsia" w:ascii="仿宋_GB2312" w:hAnsi="仿宋_GB2312" w:eastAsia="仿宋_GB2312" w:cs="仿宋_GB2312"/>
          <w:kern w:val="0"/>
          <w:sz w:val="32"/>
          <w:szCs w:val="32"/>
        </w:rPr>
        <w:t>万元或港币</w:t>
      </w:r>
      <w:r>
        <w:rPr>
          <w:rFonts w:hint="eastAsia" w:ascii="仿宋_GB2312" w:hAnsi="仿宋_GB2312" w:eastAsia="仿宋_GB2312" w:cs="仿宋_GB2312"/>
          <w:kern w:val="0"/>
          <w:sz w:val="32"/>
          <w:szCs w:val="32"/>
          <w:lang w:val="en-US" w:eastAsia="zh-CN"/>
        </w:rPr>
        <w:t>44736</w:t>
      </w:r>
      <w:r>
        <w:rPr>
          <w:rFonts w:hint="eastAsia" w:ascii="仿宋_GB2312" w:hAnsi="仿宋_GB2312" w:eastAsia="仿宋_GB2312" w:cs="仿宋_GB2312"/>
          <w:kern w:val="0"/>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（二）预先办理数字证书。本次国有建设用地使用权网</w:t>
      </w:r>
      <w:r>
        <w:rPr>
          <w:rFonts w:hint="eastAsia" w:ascii="仿宋_GB2312" w:hAnsi="仿宋_GB2312" w:eastAsia="仿宋_GB2312" w:cs="仿宋_GB2312"/>
          <w:sz w:val="32"/>
          <w:szCs w:val="32"/>
        </w:rPr>
        <w:t>上挂牌出让只能在互联网上，通过惠州市公共资源交易中心土地与矿业网上挂牌交易系统（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，以下简称“网上挂牌交易系统”）进行。只有通过网上注册、办理数字证书、按要求足额交付竞买保证金的申请人，才能参加网上挂牌交易活动。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（三）申请人及其控股股东存在下列违法、违规、违约行为之一的，不得参与上述地块竞买活动：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1、存在伪造公文骗取用地和非法倒卖土地等犯罪行为的；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2、存在非法转让土地使用权等违法行为的；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3、因企业原因造成土地闲置一年以上且至报名日止未处罚完结的；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4、开发建设企业有违背出让合同约定条件开发利用土地情形且至报名日止未处罚完结的；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5、至报名日止仍拖欠政府地价款的;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6、被列入问题楼盘开发企业黑名单的;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7、存在其它被禁止竞买土地行为的。</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六、违约及处理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竞得人缴交的保证金中按成交价的10%转作定金。竞得人有下列行为之一的，视为违约，取消竞得人资格，没收保证金,并由有关部门依法处理;造成损失的，竞得人还应依法承担赔偿责任：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（一）不符合竞买资格条件的。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（二）采取行贿、恶意串通等非法手段竞得的。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（三）竞得人以其他非法手段竞得的。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（四）竞得人逾期或拒绝签订《成交确认书》的。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（五）竞得人逾期或拒绝签订《出让合同》的。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（六）不按本须知规定提供有关纸质文件材料，或提供虚假文件材料、隐瞒重要事实，引起交易纠纷的。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（七）构成违约责任的其他行为。</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挂牌起始价为人民币</w:t>
      </w:r>
      <w:r>
        <w:rPr>
          <w:rFonts w:hint="eastAsia" w:ascii="仿宋_GB2312" w:hAnsi="仿宋_GB2312" w:eastAsia="仿宋_GB2312" w:cs="仿宋_GB2312"/>
          <w:sz w:val="32"/>
          <w:szCs w:val="32"/>
          <w:u w:val="single"/>
          <w:lang w:val="en-US" w:eastAsia="zh-CN"/>
        </w:rPr>
        <w:t>贰拾亿零叁</w:t>
      </w:r>
      <w:r>
        <w:rPr>
          <w:rFonts w:hint="eastAsia" w:ascii="仿宋_GB2312" w:hAnsi="仿宋_GB2312" w:eastAsia="仿宋_GB2312" w:cs="仿宋_GB2312"/>
          <w:sz w:val="32"/>
          <w:szCs w:val="32"/>
          <w:u w:val="single"/>
        </w:rPr>
        <w:t>仟</w:t>
      </w:r>
      <w:r>
        <w:rPr>
          <w:rFonts w:hint="eastAsia" w:ascii="仿宋_GB2312" w:hAnsi="仿宋_GB2312" w:eastAsia="仿宋_GB2312" w:cs="仿宋_GB2312"/>
          <w:sz w:val="32"/>
          <w:szCs w:val="32"/>
          <w:u w:val="single"/>
          <w:lang w:val="en-US" w:eastAsia="zh-CN"/>
        </w:rPr>
        <w:t>玖佰</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203900</w:t>
      </w:r>
      <w:r>
        <w:rPr>
          <w:rFonts w:hint="eastAsia" w:ascii="仿宋_GB2312" w:hAnsi="仿宋_GB2312" w:eastAsia="仿宋_GB2312" w:cs="仿宋_GB2312"/>
          <w:sz w:val="32"/>
          <w:szCs w:val="32"/>
        </w:rPr>
        <w:t>万元）,增价幅度为人民币</w:t>
      </w:r>
      <w:r>
        <w:rPr>
          <w:rFonts w:hint="eastAsia" w:ascii="仿宋_GB2312" w:hAnsi="仿宋_GB2312" w:eastAsia="仿宋_GB2312" w:cs="仿宋_GB2312"/>
          <w:sz w:val="32"/>
          <w:szCs w:val="32"/>
          <w:u w:val="single"/>
        </w:rPr>
        <w:t>壹</w:t>
      </w:r>
      <w:r>
        <w:rPr>
          <w:rFonts w:hint="eastAsia" w:ascii="仿宋_GB2312" w:hAnsi="仿宋_GB2312" w:eastAsia="仿宋_GB2312" w:cs="仿宋_GB2312"/>
          <w:sz w:val="32"/>
          <w:szCs w:val="32"/>
          <w:u w:val="single"/>
          <w:lang w:val="en-US" w:eastAsia="zh-CN"/>
        </w:rPr>
        <w:t>仟</w:t>
      </w:r>
      <w:r>
        <w:rPr>
          <w:rFonts w:hint="eastAsia" w:ascii="仿宋_GB2312" w:hAnsi="仿宋_GB2312" w:eastAsia="仿宋_GB2312" w:cs="仿宋_GB2312"/>
          <w:sz w:val="32"/>
          <w:szCs w:val="32"/>
          <w:u w:val="single"/>
        </w:rPr>
        <w:t>万元</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100</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b/>
          <w:bCs/>
          <w:sz w:val="32"/>
          <w:szCs w:val="32"/>
        </w:rPr>
      </w:pPr>
      <w:bookmarkStart w:id="3" w:name="104"/>
      <w:r>
        <w:rPr>
          <w:rFonts w:hint="eastAsia" w:ascii="仿宋_GB2312" w:hAnsi="仿宋_GB2312" w:eastAsia="仿宋_GB2312" w:cs="仿宋_GB2312"/>
          <w:b/>
          <w:bCs/>
          <w:sz w:val="32"/>
          <w:szCs w:val="32"/>
        </w:rPr>
        <w:t>八、</w:t>
      </w:r>
      <w:bookmarkEnd w:id="3"/>
      <w:r>
        <w:rPr>
          <w:rFonts w:hint="eastAsia" w:ascii="仿宋_GB2312" w:hAnsi="仿宋_GB2312" w:eastAsia="仿宋_GB2312" w:cs="仿宋_GB2312"/>
          <w:b/>
          <w:bCs/>
          <w:sz w:val="32"/>
          <w:szCs w:val="32"/>
        </w:rPr>
        <w:t>本次网上挂牌出让活动有关时间</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网上挂牌时间为10个工作日，不包括法定节假日。具体如下：</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（一）网上挂牌起始时间：2020年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（二）网上挂牌截止时间：2020年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日10时。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（三）网上挂牌交纳保证金截止时间：2020年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（四）网上挂牌报价时间：网上挂牌起止时间内。</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申请人可在网上挂牌交易系统浏览或下载本次网上挂牌出让文件，具体包括：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1、《惠州市国有建设用地使用权和矿业权电子挂牌交易规则》；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2、《惠州市国有建设用地使用权网上挂牌交易操作说明》；</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3、网上挂牌出让公告；</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4、挂牌出让地块现状图；</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5、惠州市国有建设用地使用权网上挂牌出让须知；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6、竞买申请书（样本）；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7、惠州市公共资源交易中心土地与矿业网上挂牌交易成交通知书（样本）；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8、《国有建设用地使用权出让合同》（以下简称“出让合同”）样本；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9、宗地规划指标要求；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10、附件。</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申请人对网上挂牌出让文件有疑问的，可在网上挂牌活动开始前以书面或者口头方式向本中心咨询。有意竞买者可自行踏勘现场。（可在网上查阅位置图和现状图）。</w:t>
      </w:r>
    </w:p>
    <w:p>
      <w:pPr>
        <w:tabs>
          <w:tab w:val="left" w:pos="3388"/>
        </w:tabs>
        <w:spacing w:line="560" w:lineRule="exact"/>
        <w:jc w:val="left"/>
        <w:rPr>
          <w:rFonts w:ascii="仿宋_GB2312" w:hAnsi="仿宋_GB2312" w:eastAsia="仿宋_GB2312" w:cs="仿宋_GB2312"/>
          <w:b/>
          <w:bCs/>
          <w:sz w:val="32"/>
          <w:szCs w:val="32"/>
        </w:rPr>
      </w:pPr>
      <w:bookmarkStart w:id="4" w:name="103"/>
      <w:bookmarkEnd w:id="4"/>
      <w:r>
        <w:rPr>
          <w:rFonts w:hint="eastAsia" w:ascii="仿宋_GB2312" w:hAnsi="仿宋_GB2312" w:eastAsia="仿宋_GB2312" w:cs="仿宋_GB2312"/>
          <w:b/>
          <w:bCs/>
          <w:sz w:val="32"/>
          <w:szCs w:val="32"/>
        </w:rPr>
        <w:t xml:space="preserve"> 十二、竞买保证金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（一）竞买保证金是申请人参加网上挂牌交易活动的资格条件。按规定将竞买保证金汇入指定账户，是参加网上挂牌交易活动的必经程序。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（二）本宗地竞买保证金到账截止时间为2020年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3  </w:t>
      </w:r>
      <w:r>
        <w:rPr>
          <w:rFonts w:hint="eastAsia" w:ascii="仿宋_GB2312" w:hAnsi="仿宋_GB2312" w:eastAsia="仿宋_GB2312" w:cs="仿宋_GB2312"/>
          <w:sz w:val="32"/>
          <w:szCs w:val="32"/>
        </w:rPr>
        <w:t xml:space="preserve">  日9时整，竞买保证金为人民币</w:t>
      </w:r>
      <w:r>
        <w:rPr>
          <w:rFonts w:hint="eastAsia" w:ascii="仿宋_GB2312" w:hAnsi="仿宋_GB2312" w:eastAsia="仿宋_GB2312" w:cs="仿宋_GB2312"/>
          <w:sz w:val="32"/>
          <w:szCs w:val="32"/>
          <w:u w:val="single"/>
        </w:rPr>
        <w:t>肆</w:t>
      </w:r>
      <w:r>
        <w:rPr>
          <w:rFonts w:hint="eastAsia" w:ascii="仿宋_GB2312" w:hAnsi="仿宋_GB2312" w:eastAsia="仿宋_GB2312" w:cs="仿宋_GB2312"/>
          <w:sz w:val="32"/>
          <w:szCs w:val="32"/>
          <w:u w:val="single"/>
          <w:lang w:val="en-US" w:eastAsia="zh-CN"/>
        </w:rPr>
        <w:t>亿零柒</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捌</w:t>
      </w:r>
      <w:r>
        <w:rPr>
          <w:rFonts w:hint="eastAsia" w:ascii="仿宋_GB2312" w:hAnsi="仿宋_GB2312" w:eastAsia="仿宋_GB2312" w:cs="仿宋_GB2312"/>
          <w:sz w:val="32"/>
          <w:szCs w:val="32"/>
          <w:u w:val="single"/>
        </w:rPr>
        <w:t>拾万元整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40780</w:t>
      </w:r>
      <w:r>
        <w:rPr>
          <w:rFonts w:hint="eastAsia" w:ascii="仿宋_GB2312" w:hAnsi="仿宋_GB2312" w:eastAsia="仿宋_GB2312" w:cs="仿宋_GB2312"/>
          <w:sz w:val="32"/>
          <w:szCs w:val="32"/>
        </w:rPr>
        <w:t>万元）；如以外币缴交竞买保证金的，须缴交美元</w:t>
      </w:r>
      <w:r>
        <w:rPr>
          <w:rFonts w:hint="eastAsia" w:ascii="仿宋_GB2312" w:hAnsi="仿宋_GB2312" w:eastAsia="仿宋_GB2312" w:cs="仿宋_GB2312"/>
          <w:sz w:val="32"/>
          <w:szCs w:val="32"/>
          <w:u w:val="single"/>
          <w:lang w:val="en-US" w:eastAsia="zh-CN"/>
        </w:rPr>
        <w:t>伍仟柒</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柒</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贰</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5772</w:t>
      </w:r>
      <w:r>
        <w:rPr>
          <w:rFonts w:hint="eastAsia" w:ascii="仿宋_GB2312" w:hAnsi="仿宋_GB2312" w:eastAsia="仿宋_GB2312" w:cs="仿宋_GB2312"/>
          <w:sz w:val="32"/>
          <w:szCs w:val="32"/>
        </w:rPr>
        <w:t>万元）或港币</w:t>
      </w:r>
      <w:r>
        <w:rPr>
          <w:rFonts w:hint="eastAsia" w:ascii="仿宋_GB2312" w:hAnsi="仿宋_GB2312" w:eastAsia="仿宋_GB2312" w:cs="仿宋_GB2312"/>
          <w:sz w:val="32"/>
          <w:szCs w:val="32"/>
          <w:u w:val="single"/>
        </w:rPr>
        <w:t>肆</w:t>
      </w:r>
      <w:r>
        <w:rPr>
          <w:rFonts w:hint="eastAsia" w:ascii="仿宋_GB2312" w:hAnsi="仿宋_GB2312" w:eastAsia="仿宋_GB2312" w:cs="仿宋_GB2312"/>
          <w:sz w:val="32"/>
          <w:szCs w:val="32"/>
          <w:u w:val="single"/>
          <w:lang w:val="en-US" w:eastAsia="zh-CN"/>
        </w:rPr>
        <w:t>亿</w:t>
      </w:r>
      <w:r>
        <w:rPr>
          <w:rFonts w:hint="eastAsia" w:ascii="仿宋_GB2312" w:hAnsi="仿宋_GB2312" w:eastAsia="仿宋_GB2312" w:cs="仿宋_GB2312"/>
          <w:sz w:val="32"/>
          <w:szCs w:val="32"/>
          <w:u w:val="single"/>
        </w:rPr>
        <w:t>肆仟</w:t>
      </w:r>
      <w:r>
        <w:rPr>
          <w:rFonts w:hint="eastAsia" w:ascii="仿宋_GB2312" w:hAnsi="仿宋_GB2312" w:eastAsia="仿宋_GB2312" w:cs="仿宋_GB2312"/>
          <w:sz w:val="32"/>
          <w:szCs w:val="32"/>
          <w:u w:val="single"/>
          <w:lang w:val="en-US" w:eastAsia="zh-CN"/>
        </w:rPr>
        <w:t>柒</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叁</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陆</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(HKD</w:t>
      </w:r>
      <w:r>
        <w:rPr>
          <w:rFonts w:hint="eastAsia" w:ascii="仿宋_GB2312" w:hAnsi="仿宋_GB2312" w:eastAsia="仿宋_GB2312" w:cs="仿宋_GB2312"/>
          <w:sz w:val="32"/>
          <w:szCs w:val="32"/>
          <w:u w:val="single"/>
          <w:lang w:val="en-US" w:eastAsia="zh-CN"/>
        </w:rPr>
        <w:t>44736</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（三）竞买人应当提前交纳竞买保证金以确保在到账截止时间前到账，超过到账截止时间的保证金，网上挂牌交易系统将不予受理，造成的损失由竞买人自行承担。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（四）跨地区或跨行转账的竞买人，需预足资金的在途时间，以免影响竞买人及时取得竞买资格。</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（五）竞买保证金到账时间以网上挂牌交易系统颁发《保证金到账通知书》为准。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竞买保证金开户单位：惠州市公共资源交易中心</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1、中国建设银行惠州广场支行。</w:t>
      </w:r>
    </w:p>
    <w:p>
      <w:pPr>
        <w:spacing w:line="560" w:lineRule="exact"/>
        <w:ind w:left="640" w:hanging="640" w:hangingChars="200"/>
        <w:jc w:val="left"/>
        <w:rPr>
          <w:rFonts w:ascii="仿宋_GB2312" w:eastAsia="仿宋_GB2312"/>
          <w:sz w:val="32"/>
          <w:szCs w:val="32"/>
        </w:rPr>
      </w:pPr>
      <w:r>
        <w:rPr>
          <w:rFonts w:hint="eastAsia" w:ascii="仿宋_GB2312" w:eastAsia="仿宋_GB2312"/>
          <w:sz w:val="32"/>
          <w:szCs w:val="32"/>
        </w:rPr>
        <w:t xml:space="preserve">    2、中国银行惠州分行。                                 3、中国工商银行股份有限公司惠州富力国际中心支行 。</w:t>
      </w:r>
    </w:p>
    <w:p>
      <w:pPr>
        <w:spacing w:line="560" w:lineRule="exact"/>
        <w:jc w:val="left"/>
        <w:rPr>
          <w:rFonts w:ascii="仿宋_GB2312" w:eastAsia="仿宋_GB2312"/>
          <w:sz w:val="32"/>
          <w:szCs w:val="32"/>
        </w:rPr>
      </w:pPr>
      <w:r>
        <w:rPr>
          <w:rFonts w:hint="eastAsia" w:ascii="仿宋_GB2312" w:eastAsia="仿宋_GB2312"/>
          <w:sz w:val="32"/>
          <w:szCs w:val="32"/>
        </w:rPr>
        <w:t xml:space="preserve">    4、中国农业银行惠州分行。</w:t>
      </w:r>
    </w:p>
    <w:p>
      <w:pPr>
        <w:spacing w:line="560" w:lineRule="exact"/>
        <w:ind w:firstLine="630"/>
        <w:jc w:val="left"/>
        <w:rPr>
          <w:rFonts w:ascii="仿宋_GB2312" w:eastAsia="仿宋_GB2312"/>
          <w:sz w:val="32"/>
          <w:szCs w:val="32"/>
        </w:rPr>
      </w:pPr>
      <w:r>
        <w:rPr>
          <w:rFonts w:hint="eastAsia" w:ascii="仿宋_GB2312" w:eastAsia="仿宋_GB2312"/>
          <w:sz w:val="32"/>
          <w:szCs w:val="32"/>
        </w:rPr>
        <w:t>5、中信银行股份有限公司惠州分行。(备注:中信银行股份有限公司惠州分行本行转帐须到银行柜面办理)。</w:t>
      </w:r>
    </w:p>
    <w:p>
      <w:pPr>
        <w:spacing w:line="560" w:lineRule="exact"/>
        <w:ind w:firstLine="630"/>
        <w:jc w:val="left"/>
        <w:rPr>
          <w:rFonts w:ascii="仿宋_GB2312" w:eastAsia="仿宋_GB2312"/>
          <w:sz w:val="32"/>
          <w:szCs w:val="32"/>
        </w:rPr>
      </w:pPr>
      <w:r>
        <w:rPr>
          <w:rFonts w:hint="eastAsia" w:ascii="仿宋_GB2312" w:eastAsia="仿宋_GB2312"/>
          <w:sz w:val="32"/>
          <w:szCs w:val="32"/>
        </w:rPr>
        <w:t>6、惠州市农村商业银行股份有限公司惠城支行。</w:t>
      </w:r>
    </w:p>
    <w:p>
      <w:pPr>
        <w:spacing w:line="560" w:lineRule="exact"/>
        <w:ind w:firstLine="630"/>
        <w:jc w:val="left"/>
        <w:rPr>
          <w:rFonts w:ascii="仿宋_GB2312" w:eastAsia="仿宋_GB2312"/>
          <w:sz w:val="32"/>
          <w:szCs w:val="32"/>
        </w:rPr>
      </w:pPr>
      <w:r>
        <w:rPr>
          <w:rFonts w:hint="eastAsia" w:ascii="仿宋_GB2312" w:eastAsia="仿宋_GB2312"/>
          <w:sz w:val="32"/>
          <w:szCs w:val="32"/>
        </w:rPr>
        <w:t>7、交通银行惠州分行。</w:t>
      </w:r>
    </w:p>
    <w:p>
      <w:pPr>
        <w:spacing w:line="560" w:lineRule="exact"/>
        <w:jc w:val="left"/>
        <w:rPr>
          <w:rFonts w:ascii="仿宋_GB2312" w:eastAsia="仿宋_GB2312"/>
          <w:sz w:val="32"/>
          <w:szCs w:val="32"/>
        </w:rPr>
      </w:pPr>
      <w:r>
        <w:rPr>
          <w:rFonts w:hint="eastAsia" w:ascii="仿宋_GB2312" w:eastAsia="仿宋_GB2312"/>
          <w:sz w:val="32"/>
          <w:szCs w:val="32"/>
        </w:rPr>
        <w:t xml:space="preserve">    8、上海浦东发展银行股份有限公司惠州分行 。</w:t>
      </w:r>
    </w:p>
    <w:p>
      <w:pPr>
        <w:spacing w:line="560" w:lineRule="exact"/>
        <w:jc w:val="left"/>
        <w:rPr>
          <w:rFonts w:ascii="仿宋_GB2312" w:eastAsia="仿宋_GB2312"/>
          <w:sz w:val="32"/>
          <w:szCs w:val="32"/>
        </w:rPr>
      </w:pPr>
      <w:r>
        <w:rPr>
          <w:rFonts w:hint="eastAsia" w:ascii="仿宋_GB2312" w:eastAsia="仿宋_GB2312"/>
          <w:sz w:val="32"/>
          <w:szCs w:val="32"/>
        </w:rPr>
        <w:t xml:space="preserve">    9、广发银行惠州江北支行。</w:t>
      </w:r>
    </w:p>
    <w:p>
      <w:pPr>
        <w:spacing w:line="560" w:lineRule="exact"/>
        <w:jc w:val="left"/>
        <w:rPr>
          <w:rFonts w:ascii="仿宋_GB2312" w:eastAsia="仿宋_GB2312"/>
          <w:sz w:val="32"/>
          <w:szCs w:val="32"/>
        </w:rPr>
      </w:pPr>
      <w:r>
        <w:rPr>
          <w:rFonts w:hint="eastAsia" w:ascii="仿宋_GB2312" w:eastAsia="仿宋_GB2312"/>
          <w:sz w:val="32"/>
          <w:szCs w:val="32"/>
        </w:rPr>
        <w:t xml:space="preserve">   10、中国民生银行股份有限公司惠州分行。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（六）保证金账号：网上挂牌交易系统随机产生子账号。</w:t>
      </w:r>
    </w:p>
    <w:p>
      <w:pPr>
        <w:tabs>
          <w:tab w:val="left" w:pos="3388"/>
        </w:tabs>
        <w:spacing w:line="560" w:lineRule="exact"/>
        <w:jc w:val="left"/>
        <w:rPr>
          <w:rFonts w:ascii="仿宋_GB2312" w:hAnsi="仿宋_GB2312" w:eastAsia="仿宋_GB2312" w:cs="仿宋_GB2312"/>
          <w:b/>
          <w:bCs/>
          <w:sz w:val="32"/>
          <w:szCs w:val="32"/>
        </w:rPr>
      </w:pPr>
      <w:bookmarkStart w:id="5" w:name="107"/>
      <w:r>
        <w:rPr>
          <w:rFonts w:hint="eastAsia" w:ascii="仿宋_GB2312" w:hAnsi="仿宋_GB2312" w:eastAsia="仿宋_GB2312" w:cs="仿宋_GB2312"/>
          <w:b/>
          <w:bCs/>
          <w:sz w:val="32"/>
          <w:szCs w:val="32"/>
        </w:rPr>
        <w:t>十三、</w:t>
      </w:r>
      <w:bookmarkEnd w:id="5"/>
      <w:r>
        <w:rPr>
          <w:rFonts w:hint="eastAsia" w:ascii="仿宋_GB2312" w:hAnsi="仿宋_GB2312" w:eastAsia="仿宋_GB2312" w:cs="仿宋_GB2312"/>
          <w:b/>
          <w:bCs/>
          <w:sz w:val="32"/>
          <w:szCs w:val="32"/>
        </w:rPr>
        <w:t>网上报价规则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（一）本次网上挂牌以增价方式进行报价，每次加价幅度为本须知规定增价幅度的整数倍。</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（二）竞买人的首次报价不低于起始价，此后的竞买人报价须高于报价当时的最新网上挂牌价格，并以增价幅度的整数倍加价。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（三）竞买人通过网上挂牌交易提交的报价一经报出，不得撤回。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（四）在报价期间，竞买人可多次报价。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（五）在报价期内，竞买人必须进行一次有效报价，才能参加网上限时竞价。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（六）竞买人报价有下列情形之一的，为无效报价：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1、报价未在网上挂牌期限内收到的。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2、报价因竞买人网络故障未在网上挂牌报价期限内收到的。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3、报价不符合报价规则的。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4、报价低于网上挂牌起始价的。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5、报价不符合网上挂牌公告、须知及相关交易文件规定的其他情形。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十四、系统操作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本中心网上挂牌交易系统（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）有模拟操作平台，有需要的竞买人可到我中心土地矿业交易部通过模拟平台进行操作培训。</w:t>
      </w:r>
    </w:p>
    <w:p>
      <w:pPr>
        <w:tabs>
          <w:tab w:val="left" w:pos="3388"/>
        </w:tabs>
        <w:spacing w:line="560" w:lineRule="exact"/>
        <w:jc w:val="left"/>
        <w:rPr>
          <w:rFonts w:ascii="仿宋_GB2312" w:hAnsi="仿宋_GB2312" w:eastAsia="仿宋_GB2312" w:cs="仿宋_GB2312"/>
          <w:sz w:val="32"/>
          <w:szCs w:val="32"/>
        </w:rPr>
      </w:pPr>
      <w:bookmarkStart w:id="6" w:name="106"/>
      <w:r>
        <w:rPr>
          <w:rFonts w:hint="eastAsia" w:ascii="仿宋_GB2312" w:hAnsi="仿宋_GB2312" w:eastAsia="仿宋_GB2312" w:cs="仿宋_GB2312"/>
          <w:b/>
          <w:bCs/>
          <w:sz w:val="32"/>
          <w:szCs w:val="32"/>
        </w:rPr>
        <w:t>十五、</w:t>
      </w:r>
      <w:bookmarkEnd w:id="6"/>
      <w:r>
        <w:rPr>
          <w:rFonts w:hint="eastAsia" w:ascii="仿宋_GB2312" w:hAnsi="仿宋_GB2312" w:eastAsia="仿宋_GB2312" w:cs="仿宋_GB2312"/>
          <w:b/>
          <w:bCs/>
          <w:sz w:val="32"/>
          <w:szCs w:val="32"/>
        </w:rPr>
        <w:t>网上挂牌程序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（一）公布网上挂牌信息</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)查询。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（二）申请竞买</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tabs>
          <w:tab w:val="left" w:pos="3388"/>
        </w:tabs>
        <w:spacing w:line="560" w:lineRule="exact"/>
        <w:ind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（三）交纳保证金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1、网上挂牌交易从网上挂牌起始时间起开始接受报价。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2、办理好数字证书、按时足额交付竞买保证金并经网上挂牌交易系统确认的竞买人通过网上挂牌交易系统进行报价。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3、网上挂牌交易系统对符合规定的报价予以确认，并更新显示当前报价。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4、网上挂牌交易系统继续接受新的报价。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5、网上挂牌报价规则见《须知》第十三条。</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网上挂牌截止由网上挂牌交易系统自动确定。在公告规定的网上挂牌截止时间，网上挂牌交易系统将显示最高报价，并询问竞买人是否愿意继续竞价（限时竞价）。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1、网上挂牌交易系统将在网上挂牌截止时间自动确定网上挂牌截止。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2、网上挂牌交易系统显示最高报价，并询问竞买人是否愿意继续竞价。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4、有竞买人表示愿意继续竞价的，网上挂牌交易系统自动进入网上限时竞价程序。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5、经网上挂牌交易系统询问完毕后，没有竞买人表示愿意继续竞价的，网上挂牌交易系统按下列规定确定网上挂牌结果：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（1）最高报价高于或等于起始价的，网上挂牌交易系统显示网上挂牌成交，最高报价的出价人为竞得人。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（2）无人应价的，网上挂牌交易显示网上挂牌不成交。</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2、5分钟限时竞价内没有新的报价，网上挂牌交易系统将自动关闭报价通道，当前最高报价为最终报价，网上挂牌交易系统确认最高报价者为竞得人。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3、在网上限时竞价中无人报价的，以网上挂牌截止时出价最高者为竞得人，但低于网上挂牌交易底价者除外。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1、网上挂牌交易结束后，竞得人应当自行下载打印《竞买申请书》、《竞价结果通知书》并盖章。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2、竞得人应当在网上挂牌交易结果公布后的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个工作日内持公司公章及下列有关纸质材料到本中心进行资格审查并签订《成交确认书》：</w:t>
      </w:r>
    </w:p>
    <w:p>
      <w:pPr>
        <w:tabs>
          <w:tab w:val="left" w:pos="3388"/>
        </w:tabs>
        <w:spacing w:line="560" w:lineRule="exact"/>
        <w:ind w:firstLine="419" w:firstLineChars="13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（2）《竞价结果通知书》（加盖公章）。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（3）《竞买保证金到账通知书》（加盖公章）。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（4）转帐凭证复印件（加盖公章）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（5）申请竞买人有效的《营业执照》复印件（加盖公章）（二份）。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）法定代表人身份证复印件（加盖公章）（二份）。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）联合竞买协议（联合竞买的提供）。</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竞买人如需保存上述竞买报名资料应自留备份，本中心不予退还。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联合竞买协议要约定联合各方的权利和义务。必须明确表达参与联合竞买的各方、参与竞买的代表人、联合各方的出资比例和签订《出让合同》时的受让人。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上述文件中，申请书必须用中文书写，其他文件可以使用其它语言，但必须附中文译本，所有文件的解释以中文译本为准。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（八）网上挂牌出让结果公示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tabs>
          <w:tab w:val="left" w:pos="3388"/>
        </w:tabs>
        <w:spacing w:line="560" w:lineRule="exact"/>
        <w:jc w:val="left"/>
        <w:rPr>
          <w:rFonts w:ascii="仿宋_GB2312" w:hAnsi="仿宋_GB2312" w:eastAsia="仿宋_GB2312" w:cs="仿宋_GB2312"/>
          <w:b/>
          <w:bCs/>
          <w:sz w:val="32"/>
          <w:szCs w:val="32"/>
        </w:rPr>
      </w:pPr>
      <w:bookmarkStart w:id="7" w:name="108"/>
      <w:r>
        <w:rPr>
          <w:rFonts w:hint="eastAsia" w:ascii="仿宋_GB2312" w:hAnsi="仿宋_GB2312" w:eastAsia="仿宋_GB2312" w:cs="仿宋_GB2312"/>
          <w:b/>
          <w:bCs/>
          <w:sz w:val="32"/>
          <w:szCs w:val="32"/>
        </w:rPr>
        <w:t>十六、</w:t>
      </w:r>
      <w:bookmarkEnd w:id="7"/>
      <w:r>
        <w:rPr>
          <w:rFonts w:hint="eastAsia" w:ascii="仿宋_GB2312" w:hAnsi="仿宋_GB2312" w:eastAsia="仿宋_GB2312" w:cs="仿宋_GB2312"/>
          <w:b/>
          <w:bCs/>
          <w:sz w:val="32"/>
          <w:szCs w:val="32"/>
        </w:rPr>
        <w:t>注意事项</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（二）本次国有建设用地使用权网上挂牌出让为无底价挂牌出让，按照价高者得的原则确定竞得人。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（五）确定竞得人后，竞得人持《惠州市公共资源交易中心网上挂牌交易成交通知书》以及参加本宗地网上挂牌交易的所须资料到惠州市公共资源交易中心土地矿业交易部申办相关成交确认手续。</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《惠州市公共资源交易中心网上挂牌交易成交通知书》对挂牌人和竞得人具有法律效力，挂牌人改变网上挂牌结果的，或者竞得人放弃竞得宗地的，应当承担相应法律责任。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（六）竞得人缴纳的竞买保证金，网上挂牌成交后，竞得人应到我中心办理保证金转付地价款手续(保证金中按成交价款的10%转作受让地块的定金）。未竞得人缴交的竞买保证金，在网上挂牌活动结束后 5 个工作日内，带齐相关资料（《保证金到帐通知书》及进账单等）到本中心退还保证金，不计利息。</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以外币缴纳土地竞买保证金的，成交确认后，我中心将在竞得人支付的外币保证金中扣留成交价款的10%（按成交当日汇率结汇）作为受让地块的定金，其余部分原路返回给竞得人，待竞得人按时缴清地价款后，再将定金退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保证金少于成交价10%的，不足部分由竞得人在签订《成交确认书》之日起5个工作日内付清。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（八）竞得人签订《国有建设用地使用权网上挂牌成交确认书》后，竞买保证金抵作土地出让价款，成交价款余款按《出让合同》的约定支付。《成交确认书》签订之日起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个工作日内竞得人须与出让人签订《出让合同》。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九）为避免网络延迟问题，竞买人首次出价应在网上挂牌截止前10分钟出价，以防止网上挂牌交易无法及时接收到报价的情况发生。5分钟倒计时竞价期间，请不要在最后时段报价，以防网络延时造成报价提交不成功。</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（十）有下列情形之一的，本中心将暂停、中止或终止网上挂牌交易活动：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1、网上挂牌交易系统受到网络恶意入侵的。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2、因网上挂牌交易系统遭受破坏或发生电力、网络故障等不可抗力因素，导致网上挂牌交易系统不能正常运行的。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3、网上挂牌交易委托人根据有关规定要求暂停、中止或终止网上挂牌交易活动的。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4、涉及土地或矿业权纠纷，不能及时解决的。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5、司法机关要求暂停、中止或终止网上挂牌交易活动的。</w:t>
      </w:r>
    </w:p>
    <w:p>
      <w:pPr>
        <w:spacing w:line="560" w:lineRule="exact"/>
        <w:rPr>
          <w:rFonts w:ascii="仿宋_GB2312" w:eastAsia="仿宋_GB2312"/>
        </w:rPr>
      </w:pPr>
      <w:r>
        <w:rPr>
          <w:rFonts w:hint="eastAsia" w:ascii="仿宋_GB2312" w:hAnsi="仿宋_GB2312" w:eastAsia="仿宋_GB2312" w:cs="仿宋_GB2312"/>
          <w:sz w:val="32"/>
          <w:szCs w:val="32"/>
        </w:rPr>
        <w:t xml:space="preserve">    </w:t>
      </w:r>
      <w:r>
        <w:rPr>
          <w:rFonts w:hint="eastAsia" w:ascii="仿宋_GB2312" w:eastAsia="仿宋_GB2312"/>
          <w:sz w:val="32"/>
          <w:szCs w:val="32"/>
        </w:rPr>
        <w:t>6、市自然资源管理部门或交易中心认为应当暂停、中止或终止网上挂牌交易活动的其他情形。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（十一）网上挂牌成交价即为该幅地块的总地价款，竞得人除支付成交价款外，还需支付契税、印花税等有关费用。</w:t>
      </w:r>
    </w:p>
    <w:p>
      <w:pPr>
        <w:spacing w:line="560" w:lineRule="exact"/>
        <w:ind w:firstLine="640" w:firstLineChars="200"/>
        <w:rPr>
          <w:rFonts w:ascii="仿宋_GB2312" w:eastAsia="仿宋_GB2312"/>
        </w:rPr>
      </w:pPr>
      <w:r>
        <w:rPr>
          <w:rFonts w:hint="eastAsia" w:ascii="仿宋_GB2312" w:eastAsia="仿宋_GB2312"/>
          <w:sz w:val="32"/>
          <w:szCs w:val="32"/>
        </w:rPr>
        <w:t>（十二）该宗地使用网上挂牌方式出让，交易全程适用《惠州市国有建设用地使用权和矿业权电子挂牌交易规则》（惠府〔2014〕167号）</w:t>
      </w:r>
      <w:r>
        <w:rPr>
          <w:rFonts w:hint="eastAsia" w:ascii="仿宋_GB2312" w:hAnsi="仿宋_GB2312" w:eastAsia="仿宋_GB2312"/>
          <w:sz w:val="32"/>
          <w:szCs w:val="24"/>
        </w:rPr>
        <w:t>。</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（十三）竞得人与出让人签订《出让合同》后，应当按出让合同约定支付网上挂牌成交价款。竞得人付清全部网上挂牌成交价款后，依法申请办理土地登记，领取《不动产权证书》。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（十四）网上挂牌不成交的，应当按规定由委托方和本中心重新组织出让。</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（十五）本中心认为需要对网上挂牌出让须知、公告及相关交易文件作出修改、补充时，将通过原公告发布渠道公告，不作另行通知。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（十六）本须知及公告涉及的时间期限，以惠州市公共资源交易中心土地与矿业网上挂牌交易系统服务器的时间为准。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（十七）竞买人在本次网上挂牌交易过程中与惠州市公共资源交易中心发生任何争议，由双方协商。协商不成的可依法提交惠州市仲裁机构仲裁解决。</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（十八）本中心对本《须知》有解释权。未尽事宜依照《招标拍卖挂牌出让国有土地使用权规范》办理。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tabs>
          <w:tab w:val="left" w:pos="3388"/>
        </w:tabs>
        <w:ind w:firstLine="4640" w:firstLineChars="1450"/>
        <w:jc w:val="left"/>
        <w:rPr>
          <w:rFonts w:ascii="仿宋_GB2312" w:hAnsi="仿宋_GB2312" w:eastAsia="仿宋_GB2312" w:cs="仿宋_GB2312"/>
          <w:sz w:val="32"/>
          <w:szCs w:val="32"/>
        </w:rPr>
      </w:pPr>
    </w:p>
    <w:p>
      <w:pPr>
        <w:tabs>
          <w:tab w:val="left" w:pos="3388"/>
        </w:tabs>
        <w:ind w:firstLine="4640" w:firstLineChars="14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p>
    <w:p>
      <w:pPr>
        <w:tabs>
          <w:tab w:val="left" w:pos="3388"/>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3"/>
        </w:pPr>
        <w:r>
          <w:fldChar w:fldCharType="begin"/>
        </w:r>
        <w:r>
          <w:instrText xml:space="preserve"> PAGE   \* MERGEFORMAT </w:instrText>
        </w:r>
        <w:r>
          <w:fldChar w:fldCharType="separate"/>
        </w:r>
        <w:r>
          <w:rPr>
            <w:lang w:val="zh-CN"/>
          </w:rPr>
          <w:t>-</w:t>
        </w:r>
        <w:r>
          <w:t xml:space="preserve"> 17 -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54F511E"/>
    <w:rsid w:val="00006A7B"/>
    <w:rsid w:val="00013E7E"/>
    <w:rsid w:val="000721C6"/>
    <w:rsid w:val="000837BB"/>
    <w:rsid w:val="000A092B"/>
    <w:rsid w:val="000A5504"/>
    <w:rsid w:val="000D0D10"/>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30F1806"/>
    <w:rsid w:val="04AD7D35"/>
    <w:rsid w:val="054F511E"/>
    <w:rsid w:val="0CD05DB7"/>
    <w:rsid w:val="0F830A62"/>
    <w:rsid w:val="109A02CD"/>
    <w:rsid w:val="20061FAD"/>
    <w:rsid w:val="296C67A2"/>
    <w:rsid w:val="2A8A6543"/>
    <w:rsid w:val="2B1F451B"/>
    <w:rsid w:val="2D6206D4"/>
    <w:rsid w:val="30853164"/>
    <w:rsid w:val="34405344"/>
    <w:rsid w:val="3DBA5BC3"/>
    <w:rsid w:val="3E3E281B"/>
    <w:rsid w:val="4632212B"/>
    <w:rsid w:val="49EB09D0"/>
    <w:rsid w:val="575C2D03"/>
    <w:rsid w:val="67576BA1"/>
    <w:rsid w:val="68C033F6"/>
    <w:rsid w:val="69CC62F3"/>
    <w:rsid w:val="71772A86"/>
    <w:rsid w:val="7FA445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0"/>
    <w:rPr>
      <w:rFonts w:ascii="Calibri" w:hAnsi="Calibri"/>
      <w:kern w:val="2"/>
      <w:sz w:val="18"/>
      <w:szCs w:val="18"/>
    </w:rPr>
  </w:style>
  <w:style w:type="character" w:customStyle="1" w:styleId="8">
    <w:name w:val="页脚 Char"/>
    <w:basedOn w:val="5"/>
    <w:link w:val="3"/>
    <w:uiPriority w:val="99"/>
    <w:rPr>
      <w:rFonts w:ascii="Calibri" w:hAnsi="Calibri"/>
      <w:kern w:val="2"/>
      <w:sz w:val="18"/>
      <w:szCs w:val="22"/>
    </w:rPr>
  </w:style>
  <w:style w:type="character" w:customStyle="1" w:styleId="9">
    <w:name w:val="正文文本缩进 Char"/>
    <w:basedOn w:val="5"/>
    <w:link w:val="2"/>
    <w:uiPriority w:val="0"/>
    <w:rPr>
      <w:rFonts w:ascii="仿宋_GB2312" w:hAnsi="华文中宋" w:eastAsia="仿宋_GB231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5</TotalTime>
  <ScaleCrop>false</ScaleCrop>
  <LinksUpToDate>false</LinksUpToDate>
  <CharactersWithSpaces>8733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黄春枚</cp:lastModifiedBy>
  <cp:lastPrinted>2020-01-22T08:47:00Z</cp:lastPrinted>
  <dcterms:modified xsi:type="dcterms:W3CDTF">2020-04-30T07:13:38Z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