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w:t>
      </w:r>
      <w:r>
        <w:rPr>
          <w:rFonts w:hint="eastAsia" w:ascii="仿宋_GB2312" w:hAnsi="仿宋_GB2312" w:eastAsia="仿宋_GB2312" w:cs="仿宋_GB2312"/>
          <w:sz w:val="32"/>
          <w:szCs w:val="32"/>
          <w:lang w:eastAsia="zh-CN"/>
        </w:rPr>
        <w:t>鹿江沥南岸;</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：LJL-47-</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（四）地块范围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平面界址点</w:t>
      </w:r>
      <w:r>
        <w:rPr>
          <w:rFonts w:hint="eastAsia" w:ascii="仿宋_GB2312" w:hAnsi="仿宋_GB2312" w:eastAsia="仿宋_GB2312" w:cs="仿宋_GB2312"/>
          <w:sz w:val="32"/>
          <w:szCs w:val="32"/>
          <w:lang w:eastAsia="zh-CN"/>
        </w:rPr>
        <w:t>以建设用地红线图（案宗编号：</w:t>
      </w:r>
      <w:r>
        <w:rPr>
          <w:rFonts w:hint="eastAsia" w:ascii="仿宋_GB2312" w:hAnsi="仿宋_GB2312" w:eastAsia="仿宋_GB2312" w:cs="仿宋_GB2312"/>
          <w:sz w:val="32"/>
          <w:szCs w:val="32"/>
          <w:lang w:val="en-US" w:eastAsia="zh-CN"/>
        </w:rPr>
        <w:t>YD</w:t>
      </w:r>
      <w:r>
        <w:rPr>
          <w:rFonts w:hint="default" w:ascii="仿宋_GB2312" w:hAnsi="仿宋_GB2312" w:eastAsia="仿宋_GB2312" w:cs="仿宋_GB2312"/>
          <w:sz w:val="32"/>
          <w:szCs w:val="32"/>
          <w:lang w:val="en-US" w:eastAsia="zh-CN"/>
        </w:rPr>
        <w:t>20200075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为准，宗地竖向界限以《规划设计条件告知书（案卷编号：PB20200</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）》（以下简称“《告知书》”）规定为准</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35566.18</w:t>
      </w:r>
      <w:r>
        <w:rPr>
          <w:rFonts w:hint="eastAsia" w:ascii="仿宋_GB2312" w:hAnsi="仿宋_GB2312" w:eastAsia="仿宋_GB2312" w:cs="仿宋_GB2312"/>
          <w:sz w:val="32"/>
          <w:szCs w:val="32"/>
          <w:lang w:val="en-US" w:eastAsia="zh-CN"/>
        </w:rPr>
        <w:t>平方</w:t>
      </w:r>
      <w:r>
        <w:rPr>
          <w:rFonts w:hint="eastAsia" w:ascii="仿宋_GB2312" w:hAnsi="仿宋_GB2312" w:eastAsia="仿宋_GB2312" w:cs="仿宋_GB2312"/>
          <w:sz w:val="32"/>
          <w:szCs w:val="32"/>
        </w:rPr>
        <w:t>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40996.77</w:t>
      </w:r>
      <w:r>
        <w:rPr>
          <w:rFonts w:hint="eastAsia" w:ascii="仿宋_GB2312" w:hAnsi="仿宋_GB2312" w:eastAsia="仿宋_GB2312" w:cs="仿宋_GB2312"/>
          <w:sz w:val="32"/>
          <w:szCs w:val="32"/>
          <w:lang w:val="en-US" w:eastAsia="zh-CN"/>
        </w:rPr>
        <w:t>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w:t>
      </w:r>
      <w:r>
        <w:rPr>
          <w:rFonts w:hint="default" w:ascii="仿宋_GB2312" w:hAnsi="仿宋_GB2312" w:eastAsia="仿宋_GB2312" w:cs="仿宋_GB2312"/>
          <w:sz w:val="32"/>
          <w:szCs w:val="32"/>
          <w:lang w:val="en-US" w:eastAsia="zh-CN"/>
        </w:rPr>
        <w:t>≤143489㎡(其中：商业、商务建筑面积≤15%（不得建设公寓）；住宅面积&lt;115765；配套设施建筑面积&gt;6200）</w:t>
      </w:r>
      <w:r>
        <w:rPr>
          <w:rFonts w:hint="eastAsia" w:ascii="仿宋_GB2312" w:hAnsi="仿宋_GB2312" w:eastAsia="仿宋_GB2312" w:cs="仿宋_GB2312"/>
          <w:sz w:val="32"/>
          <w:szCs w:val="32"/>
          <w:lang w:val="en-US" w:eastAsia="zh-CN"/>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（十）容积率为：≤3.5；</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十一）建筑密度为：</w:t>
      </w:r>
      <w:r>
        <w:rPr>
          <w:rFonts w:hint="default" w:ascii="仿宋_GB2312" w:hAnsi="仿宋_GB2312" w:eastAsia="仿宋_GB2312" w:cs="仿宋_GB2312"/>
          <w:sz w:val="32"/>
          <w:szCs w:val="32"/>
          <w:lang w:val="en-US" w:eastAsia="zh-CN"/>
        </w:rPr>
        <w:t>≤35％（住宅建筑密度≤22％）</w:t>
      </w:r>
      <w:r>
        <w:rPr>
          <w:rFonts w:hint="eastAsia" w:ascii="仿宋_GB2312" w:hAnsi="仿宋_GB2312" w:eastAsia="仿宋_GB2312" w:cs="仿宋_GB2312"/>
          <w:sz w:val="32"/>
          <w:szCs w:val="32"/>
          <w:lang w:val="en-US" w:eastAsia="zh-CN"/>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（十三）适建性：住宅、</w:t>
      </w:r>
      <w:r>
        <w:rPr>
          <w:rFonts w:hint="eastAsia" w:ascii="仿宋_GB2312" w:hAnsi="仿宋_GB2312" w:eastAsia="仿宋_GB2312" w:cs="仿宋_GB2312"/>
          <w:sz w:val="32"/>
          <w:szCs w:val="32"/>
          <w:lang w:eastAsia="zh-CN"/>
        </w:rPr>
        <w:t>商业</w:t>
      </w:r>
      <w:r>
        <w:rPr>
          <w:rFonts w:hint="eastAsia" w:ascii="仿宋_GB2312" w:hAnsi="仿宋_GB2312" w:eastAsia="仿宋_GB2312" w:cs="仿宋_GB2312"/>
          <w:sz w:val="32"/>
          <w:szCs w:val="32"/>
          <w:lang w:val="en-US" w:eastAsia="zh-CN"/>
        </w:rPr>
        <w:t>和商务及</w:t>
      </w:r>
      <w:r>
        <w:rPr>
          <w:rFonts w:hint="eastAsia" w:ascii="仿宋_GB2312" w:hAnsi="仿宋_GB2312" w:eastAsia="仿宋_GB2312" w:cs="仿宋_GB2312"/>
          <w:sz w:val="32"/>
          <w:szCs w:val="32"/>
          <w:lang w:eastAsia="zh-CN"/>
        </w:rPr>
        <w:t>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（一）开发投资总额不少于</w:t>
      </w:r>
      <w:r>
        <w:rPr>
          <w:rFonts w:hint="eastAsia" w:ascii="仿宋_GB2312" w:hAnsi="仿宋_GB2312" w:eastAsia="仿宋_GB2312" w:cs="仿宋_GB2312"/>
          <w:sz w:val="32"/>
          <w:szCs w:val="32"/>
          <w:lang w:val="en-US" w:eastAsia="zh-CN"/>
        </w:rPr>
        <w:t>126490</w:t>
      </w:r>
      <w:r>
        <w:rPr>
          <w:rFonts w:hint="default" w:ascii="仿宋_GB2312" w:hAnsi="仿宋_GB2312" w:eastAsia="仿宋_GB2312" w:cs="仿宋_GB2312"/>
          <w:sz w:val="32"/>
          <w:szCs w:val="32"/>
          <w:lang w:val="en-US" w:eastAsia="zh-CN"/>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（二）土地成交价款须以人民币支付,竞得人在签订《出让合同》之日起</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（三）该地权利清晰，安置补偿落实到位，没有法律经济纠纷，具备动工开发所必须的基本条件。</w:t>
      </w:r>
    </w:p>
    <w:p>
      <w:pPr>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 w:eastAsia="仿宋_GB2312"/>
          <w:kern w:val="2"/>
          <w:sz w:val="32"/>
          <w:szCs w:val="32"/>
          <w:lang w:eastAsia="zh-CN"/>
        </w:rPr>
      </w:pPr>
      <w:r>
        <w:rPr>
          <w:rFonts w:hint="eastAsia" w:ascii="仿宋_GB2312" w:hAnsi="仿宋" w:eastAsia="仿宋_GB2312"/>
          <w:kern w:val="2"/>
          <w:sz w:val="32"/>
          <w:szCs w:val="32"/>
          <w:lang w:eastAsia="zh-CN"/>
        </w:rPr>
        <w:t>（</w:t>
      </w:r>
      <w:r>
        <w:rPr>
          <w:rFonts w:hint="eastAsia" w:ascii="仿宋_GB2312" w:hAnsi="仿宋" w:eastAsia="仿宋_GB2312"/>
          <w:kern w:val="2"/>
          <w:sz w:val="32"/>
          <w:szCs w:val="32"/>
          <w:lang w:val="en-US" w:eastAsia="zh-CN"/>
        </w:rPr>
        <w:t>四</w:t>
      </w:r>
      <w:r>
        <w:rPr>
          <w:rFonts w:hint="eastAsia" w:ascii="仿宋_GB2312" w:hAnsi="仿宋" w:eastAsia="仿宋_GB2312"/>
          <w:kern w:val="2"/>
          <w:sz w:val="32"/>
          <w:szCs w:val="32"/>
          <w:lang w:eastAsia="zh-CN"/>
        </w:rPr>
        <w:t>）竞得人在用地红线内开发建设必须符合城市规划要求，必须按《告知书》（案卷编号：PB20</w:t>
      </w:r>
      <w:r>
        <w:rPr>
          <w:rFonts w:hint="default" w:ascii="仿宋_GB2312" w:hAnsi="仿宋" w:eastAsia="仿宋_GB2312"/>
          <w:kern w:val="2"/>
          <w:sz w:val="32"/>
          <w:szCs w:val="32"/>
          <w:lang w:val="en-US" w:eastAsia="zh-CN"/>
        </w:rPr>
        <w:t>200</w:t>
      </w:r>
      <w:r>
        <w:rPr>
          <w:rFonts w:hint="eastAsia" w:ascii="仿宋_GB2312" w:hAnsi="仿宋" w:eastAsia="仿宋_GB2312"/>
          <w:kern w:val="2"/>
          <w:sz w:val="32"/>
          <w:szCs w:val="32"/>
          <w:lang w:val="en-US" w:eastAsia="zh-CN"/>
        </w:rPr>
        <w:t>100</w:t>
      </w:r>
      <w:r>
        <w:rPr>
          <w:rFonts w:hint="eastAsia" w:ascii="仿宋_GB2312" w:hAnsi="仿宋" w:eastAsia="仿宋_GB2312"/>
          <w:kern w:val="2"/>
          <w:sz w:val="32"/>
          <w:szCs w:val="32"/>
          <w:lang w:eastAsia="zh-CN"/>
        </w:rPr>
        <w:t>）规划控制指标要求及有关规定进行规划设计。</w:t>
      </w:r>
    </w:p>
    <w:p>
      <w:pPr>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rPr>
        <w:t>（</w:t>
      </w:r>
      <w:r>
        <w:rPr>
          <w:rFonts w:hint="eastAsia" w:ascii="仿宋_GB2312" w:hAnsi="仿宋" w:eastAsia="仿宋_GB2312"/>
          <w:kern w:val="2"/>
          <w:sz w:val="32"/>
          <w:szCs w:val="32"/>
          <w:lang w:val="en-US" w:eastAsia="zh-CN"/>
        </w:rPr>
        <w:t>五</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本用地内部、东侧和北侧的密路网（包括雨水管和污水管）须由取得</w:t>
      </w:r>
      <w:r>
        <w:rPr>
          <w:rFonts w:hint="eastAsia" w:ascii="仿宋_GB2312" w:hAnsi="仿宋" w:eastAsia="仿宋_GB2312"/>
          <w:kern w:val="2"/>
          <w:sz w:val="32"/>
          <w:szCs w:val="32"/>
          <w:lang w:val="en-US" w:eastAsia="zh-CN"/>
        </w:rPr>
        <w:t>LJL-47-19地块的土地使用权者负责建设。密路网建成后无偿交给市政工程行政主管部门管理，并开放给公众使用。</w:t>
      </w:r>
    </w:p>
    <w:p>
      <w:pPr>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 w:eastAsia="仿宋_GB2312"/>
          <w:sz w:val="32"/>
          <w:szCs w:val="32"/>
        </w:rPr>
      </w:pPr>
      <w:r>
        <w:rPr>
          <w:rFonts w:hint="eastAsia" w:ascii="仿宋_GB2312" w:hAnsi="仿宋" w:eastAsia="仿宋_GB2312"/>
          <w:kern w:val="2"/>
          <w:sz w:val="32"/>
          <w:szCs w:val="32"/>
        </w:rPr>
        <w:t>（</w:t>
      </w:r>
      <w:r>
        <w:rPr>
          <w:rFonts w:hint="eastAsia" w:ascii="仿宋_GB2312" w:hAnsi="仿宋" w:eastAsia="仿宋_GB2312"/>
          <w:kern w:val="2"/>
          <w:sz w:val="32"/>
          <w:szCs w:val="32"/>
          <w:lang w:val="en-US" w:eastAsia="zh-CN"/>
        </w:rPr>
        <w:t>六</w:t>
      </w:r>
      <w:r>
        <w:rPr>
          <w:rFonts w:hint="eastAsia" w:ascii="仿宋_GB2312" w:hAnsi="仿宋" w:eastAsia="仿宋_GB2312"/>
          <w:kern w:val="2"/>
          <w:sz w:val="32"/>
          <w:szCs w:val="32"/>
        </w:rPr>
        <w:t>）</w:t>
      </w:r>
      <w:r>
        <w:rPr>
          <w:rFonts w:hint="eastAsia" w:ascii="仿宋_GB2312" w:hAnsi="仿宋" w:eastAsia="仿宋_GB2312"/>
          <w:kern w:val="2"/>
          <w:sz w:val="32"/>
          <w:szCs w:val="32"/>
          <w:lang w:eastAsia="zh-CN"/>
        </w:rPr>
        <w:t>地块内的配套幼儿园应与</w:t>
      </w:r>
      <w:r>
        <w:rPr>
          <w:rFonts w:hint="eastAsia" w:ascii="仿宋_GB2312" w:hAnsi="仿宋" w:eastAsia="仿宋_GB2312"/>
          <w:kern w:val="2"/>
          <w:sz w:val="32"/>
          <w:szCs w:val="32"/>
          <w:lang w:val="en-US" w:eastAsia="zh-CN"/>
        </w:rPr>
        <w:t>LJL-47-19地块同步规划设计、同步建设、同步验收交付使用</w:t>
      </w:r>
      <w:r>
        <w:rPr>
          <w:rFonts w:hint="eastAsia" w:ascii="仿宋_GB2312" w:hAnsi="仿宋" w:eastAsia="仿宋_GB2312"/>
          <w:kern w:val="2"/>
          <w:sz w:val="32"/>
          <w:szCs w:val="32"/>
          <w:lang w:eastAsia="zh-CN"/>
        </w:rPr>
        <w:t>，如</w:t>
      </w:r>
      <w:r>
        <w:rPr>
          <w:rFonts w:hint="eastAsia" w:ascii="仿宋_GB2312" w:hAnsi="仿宋" w:eastAsia="仿宋_GB2312"/>
          <w:kern w:val="2"/>
          <w:sz w:val="32"/>
          <w:szCs w:val="32"/>
          <w:lang w:val="en-US" w:eastAsia="zh-CN"/>
        </w:rPr>
        <w:t>本用地分期建设，该幼儿园应纳入首期工程。</w:t>
      </w:r>
      <w:r>
        <w:rPr>
          <w:rFonts w:hint="eastAsia" w:ascii="仿宋_GB2312" w:hAnsi="仿宋" w:eastAsia="仿宋_GB2312"/>
          <w:kern w:val="2"/>
          <w:sz w:val="32"/>
          <w:szCs w:val="32"/>
          <w:lang w:eastAsia="zh-CN"/>
        </w:rPr>
        <w:t>在办理用地供地手续时，应将整个地块办理出让手续，在出让合同中明确由地块使用权人按照规划要求和惠城区教育局提出的建设标准完成配套幼儿园建设并无偿移交，不动产登记部门在办理分割登记时，将幼儿园办至惠城区教育局名下。</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16690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2444</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18938</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捌亿叁仟肆佰伍拾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83450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壹亿陆仟陆</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玖拾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16690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贰仟肆佰肆拾肆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2444</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壹亿捌仟玖</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叁拾捌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18938</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7BD19CE"/>
    <w:rsid w:val="0CD05DB7"/>
    <w:rsid w:val="0F830A62"/>
    <w:rsid w:val="0FC62DE2"/>
    <w:rsid w:val="109A02CD"/>
    <w:rsid w:val="114A1759"/>
    <w:rsid w:val="124E6E97"/>
    <w:rsid w:val="16283DCA"/>
    <w:rsid w:val="174A0854"/>
    <w:rsid w:val="18E65A07"/>
    <w:rsid w:val="19D3338D"/>
    <w:rsid w:val="1C387F88"/>
    <w:rsid w:val="1C552ED6"/>
    <w:rsid w:val="1D082B40"/>
    <w:rsid w:val="1E192718"/>
    <w:rsid w:val="1E6A5D50"/>
    <w:rsid w:val="1FAB74B3"/>
    <w:rsid w:val="20061FAD"/>
    <w:rsid w:val="24FB650C"/>
    <w:rsid w:val="26067B89"/>
    <w:rsid w:val="2608519C"/>
    <w:rsid w:val="267D0353"/>
    <w:rsid w:val="296C67A2"/>
    <w:rsid w:val="2A8A6543"/>
    <w:rsid w:val="2B1F080F"/>
    <w:rsid w:val="2B1F451B"/>
    <w:rsid w:val="2B9F5586"/>
    <w:rsid w:val="2BAF1540"/>
    <w:rsid w:val="2D6206D4"/>
    <w:rsid w:val="2E441035"/>
    <w:rsid w:val="30853164"/>
    <w:rsid w:val="322A1DC6"/>
    <w:rsid w:val="34405344"/>
    <w:rsid w:val="351709CA"/>
    <w:rsid w:val="35F81310"/>
    <w:rsid w:val="385771C0"/>
    <w:rsid w:val="38AB40F2"/>
    <w:rsid w:val="39F76430"/>
    <w:rsid w:val="3AAC2138"/>
    <w:rsid w:val="3BE56A3C"/>
    <w:rsid w:val="3D6D59E8"/>
    <w:rsid w:val="3DBA5BC3"/>
    <w:rsid w:val="3E3E281B"/>
    <w:rsid w:val="3E546F3E"/>
    <w:rsid w:val="3E5F4D8D"/>
    <w:rsid w:val="41A12A91"/>
    <w:rsid w:val="426E3FC4"/>
    <w:rsid w:val="43185547"/>
    <w:rsid w:val="460036EA"/>
    <w:rsid w:val="4632212B"/>
    <w:rsid w:val="488B5055"/>
    <w:rsid w:val="49EB09D0"/>
    <w:rsid w:val="4A791F5D"/>
    <w:rsid w:val="4BB72777"/>
    <w:rsid w:val="4E1B3647"/>
    <w:rsid w:val="51F83D16"/>
    <w:rsid w:val="52794A23"/>
    <w:rsid w:val="550A1D05"/>
    <w:rsid w:val="557A637A"/>
    <w:rsid w:val="575C2D03"/>
    <w:rsid w:val="5A233067"/>
    <w:rsid w:val="5C2303AF"/>
    <w:rsid w:val="5C4C3ACF"/>
    <w:rsid w:val="5C731101"/>
    <w:rsid w:val="5F866FCC"/>
    <w:rsid w:val="62856A44"/>
    <w:rsid w:val="64DD162F"/>
    <w:rsid w:val="65816E58"/>
    <w:rsid w:val="65E21D43"/>
    <w:rsid w:val="661C1CD7"/>
    <w:rsid w:val="67576BA1"/>
    <w:rsid w:val="68C033F6"/>
    <w:rsid w:val="68FB76FE"/>
    <w:rsid w:val="69CC62F3"/>
    <w:rsid w:val="6B405C37"/>
    <w:rsid w:val="6B6028FB"/>
    <w:rsid w:val="6CAD7062"/>
    <w:rsid w:val="6D6134E2"/>
    <w:rsid w:val="70E3266E"/>
    <w:rsid w:val="71007E48"/>
    <w:rsid w:val="71772A86"/>
    <w:rsid w:val="761D17FA"/>
    <w:rsid w:val="76553B22"/>
    <w:rsid w:val="79EA38E7"/>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2020-09-30T03:17:52Z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