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惠州市国有建设用地使用权网上</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挂牌出让须知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025</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惠城区自然资源局委托，本中心以网上挂牌交易方式出让下列国有建设用地使用权。</w:t>
      </w:r>
      <w:bookmarkStart w:id="0" w:name="99"/>
      <w:bookmarkEnd w:id="0"/>
    </w:p>
    <w:p>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ind w:firstLine="320" w:firstLineChars="1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（一）挂牌地块编号：</w:t>
      </w:r>
      <w:r>
        <w:rPr>
          <w:rFonts w:hint="eastAsia" w:ascii="仿宋_GB2312" w:hAnsi="Times New Roman" w:eastAsia="仿宋_GB2312"/>
          <w:sz w:val="32"/>
          <w:szCs w:val="32"/>
        </w:rPr>
        <w:t>GP20</w:t>
      </w:r>
      <w:r>
        <w:rPr>
          <w:rFonts w:hint="eastAsia" w:ascii="仿宋_GB2312" w:hAnsi="Times New Roman" w:eastAsia="仿宋_GB2312"/>
          <w:sz w:val="32"/>
          <w:szCs w:val="32"/>
          <w:lang w:val="en-US" w:eastAsia="zh-CN"/>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p>
    <w:p>
      <w:pPr>
        <w:ind w:left="32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val="en-US" w:eastAsia="zh-CN"/>
        </w:rPr>
        <w:t>惠城区高新科技产业园南部片区；</w:t>
      </w:r>
      <w:r>
        <w:rPr>
          <w:rFonts w:hint="eastAsia" w:ascii="仿宋_GB2312" w:hAnsi="仿宋_GB2312" w:eastAsia="仿宋_GB2312" w:cs="仿宋_GB2312"/>
          <w:sz w:val="32"/>
          <w:szCs w:val="32"/>
        </w:rPr>
        <w:t xml:space="preserve">  </w:t>
      </w:r>
    </w:p>
    <w:p>
      <w:pPr>
        <w:ind w:left="319" w:leftChars="152" w:firstLine="0" w:firstLineChars="0"/>
      </w:pPr>
      <w:r>
        <w:rPr>
          <w:rFonts w:hint="eastAsia" w:ascii="仿宋_GB2312" w:hAnsi="仿宋_GB2312" w:eastAsia="仿宋_GB2312" w:cs="仿宋_GB2312"/>
          <w:sz w:val="32"/>
          <w:szCs w:val="32"/>
        </w:rPr>
        <w:t>（三）规划编号</w:t>
      </w:r>
      <w:r>
        <w:rPr>
          <w:rFonts w:hint="eastAsia" w:ascii="仿宋_GB2312" w:hAnsi="仿宋_GB2312" w:eastAsia="仿宋_GB2312" w:cs="仿宋_GB2312"/>
          <w:sz w:val="32"/>
          <w:szCs w:val="32"/>
          <w:lang w:val="en-US" w:eastAsia="zh-CN"/>
        </w:rPr>
        <w:t>：B-10-02地块；</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w:t>
      </w:r>
      <w:r>
        <w:rPr>
          <w:rFonts w:hint="eastAsia" w:ascii="仿宋_GB2312" w:hAnsi="仿宋_GB2312" w:eastAsia="仿宋_GB2312" w:cs="仿宋_GB2312"/>
          <w:sz w:val="32"/>
          <w:szCs w:val="32"/>
          <w:lang w:val="en-US" w:eastAsia="zh-CN"/>
        </w:rPr>
        <w:t>建设用地红线</w:t>
      </w:r>
      <w:r>
        <w:rPr>
          <w:rFonts w:hint="eastAsia" w:ascii="仿宋_GB2312" w:hAnsi="仿宋_GB2312" w:eastAsia="仿宋_GB2312" w:cs="仿宋_GB2312"/>
          <w:sz w:val="32"/>
          <w:szCs w:val="32"/>
        </w:rPr>
        <w:t>图为准，宗地竖向界限以《</w:t>
      </w:r>
      <w:r>
        <w:rPr>
          <w:rFonts w:hint="eastAsia" w:ascii="仿宋_GB2312" w:hAnsi="仿宋_GB2312" w:eastAsia="仿宋_GB2312" w:cs="仿宋_GB2312"/>
          <w:sz w:val="32"/>
          <w:szCs w:val="32"/>
          <w:lang w:val="en-US" w:eastAsia="zh-CN"/>
        </w:rPr>
        <w:t>规划设计条件告知书</w:t>
      </w:r>
      <w:r>
        <w:rPr>
          <w:rFonts w:hint="eastAsia" w:ascii="仿宋_GB2312" w:hAnsi="仿宋_GB2312" w:eastAsia="仿宋_GB2312" w:cs="仿宋_GB2312"/>
          <w:sz w:val="32"/>
          <w:szCs w:val="32"/>
        </w:rPr>
        <w:t>(编号:</w:t>
      </w:r>
      <w:r>
        <w:rPr>
          <w:rFonts w:hint="eastAsia" w:ascii="仿宋" w:hAnsi="仿宋" w:eastAsia="仿宋"/>
          <w:sz w:val="32"/>
          <w:szCs w:val="32"/>
        </w:rPr>
        <w:t xml:space="preserve"> </w:t>
      </w:r>
      <w:r>
        <w:rPr>
          <w:rFonts w:hint="eastAsia" w:ascii="仿宋_GB2312" w:hAnsi="仿宋_GB2312" w:eastAsia="仿宋_GB2312" w:cs="仿宋_GB2312"/>
          <w:sz w:val="32"/>
          <w:szCs w:val="32"/>
          <w:lang w:val="en-US" w:eastAsia="zh-CN"/>
        </w:rPr>
        <w:t>PB20170122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lang w:eastAsia="zh-CN"/>
        </w:rPr>
        <w:t>《关于惠城区高新科技产业园南部</w:t>
      </w:r>
      <w:r>
        <w:rPr>
          <w:rFonts w:hint="eastAsia" w:ascii="仿宋_GB2312" w:hAnsi="仿宋_GB2312" w:eastAsia="仿宋_GB2312" w:cs="仿宋_GB2312"/>
          <w:sz w:val="32"/>
          <w:szCs w:val="32"/>
          <w:lang w:val="en-US" w:eastAsia="zh-CN"/>
        </w:rPr>
        <w:t>片区B-10-02地块规划要点核实的函》（HCPB20200005）</w:t>
      </w:r>
      <w:r>
        <w:rPr>
          <w:rFonts w:hint="eastAsia" w:ascii="仿宋_GB2312" w:hAnsi="仿宋_GB2312" w:eastAsia="仿宋_GB2312" w:cs="仿宋_GB2312"/>
          <w:sz w:val="32"/>
          <w:szCs w:val="32"/>
        </w:rPr>
        <w:t>规定为准；</w:t>
      </w:r>
    </w:p>
    <w:p>
      <w:r>
        <w:rPr>
          <w:rFonts w:hint="eastAsia" w:ascii="仿宋_GB2312" w:hAnsi="仿宋_GB2312" w:eastAsia="仿宋_GB2312" w:cs="仿宋_GB2312"/>
          <w:sz w:val="32"/>
          <w:szCs w:val="32"/>
        </w:rPr>
        <w:t xml:space="preserve">  （五）宗地使用权面积为：</w:t>
      </w:r>
      <w:r>
        <w:rPr>
          <w:rFonts w:hint="eastAsia" w:ascii="仿宋_GB2312" w:hAnsi="仿宋_GB2312" w:eastAsia="仿宋_GB2312" w:cs="仿宋_GB2312"/>
          <w:sz w:val="32"/>
          <w:szCs w:val="32"/>
          <w:lang w:val="en-US" w:eastAsia="zh-CN"/>
        </w:rPr>
        <w:t>4933.86</w:t>
      </w:r>
      <w:r>
        <w:rPr>
          <w:rFonts w:hint="eastAsia" w:ascii="仿宋_GB2312" w:hAnsi="仿宋_GB2312" w:eastAsia="仿宋_GB2312" w:cs="仿宋_GB2312"/>
          <w:sz w:val="32"/>
          <w:szCs w:val="32"/>
        </w:rPr>
        <w:t>平方米；</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（六）计算指标用地面积为：</w:t>
      </w:r>
      <w:r>
        <w:rPr>
          <w:rFonts w:hint="eastAsia" w:ascii="仿宋_GB2312" w:hAnsi="仿宋_GB2312" w:eastAsia="仿宋_GB2312" w:cs="仿宋_GB2312"/>
          <w:sz w:val="32"/>
          <w:szCs w:val="32"/>
          <w:lang w:val="en-US" w:eastAsia="zh-CN"/>
        </w:rPr>
        <w:t>8068</w:t>
      </w:r>
      <w:r>
        <w:rPr>
          <w:rFonts w:hint="eastAsia" w:ascii="仿宋_GB2312" w:hAnsi="仿宋_GB2312" w:eastAsia="仿宋_GB2312" w:cs="仿宋_GB2312"/>
          <w:sz w:val="32"/>
          <w:szCs w:val="32"/>
        </w:rPr>
        <w:t>平方米；</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（七）计容积率建筑面积为：≤</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平方米；</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（八）土地用途为：</w:t>
      </w:r>
      <w:r>
        <w:rPr>
          <w:rFonts w:hint="eastAsia" w:ascii="仿宋_GB2312" w:hAnsi="仿宋_GB2312" w:eastAsia="仿宋_GB2312" w:cs="仿宋_GB2312"/>
          <w:sz w:val="32"/>
          <w:szCs w:val="32"/>
          <w:lang w:val="en-US" w:eastAsia="zh-CN"/>
        </w:rPr>
        <w:t>加油加气站用地</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（九）土地使用权出让年期为：</w:t>
      </w:r>
      <w:r>
        <w:rPr>
          <w:rFonts w:hint="eastAsia" w:ascii="仿宋_GB2312" w:hAnsi="仿宋_GB2312" w:eastAsia="仿宋_GB2312" w:cs="仿宋_GB2312"/>
          <w:sz w:val="32"/>
          <w:szCs w:val="32"/>
          <w:lang w:val="en-US" w:eastAsia="zh-CN"/>
        </w:rPr>
        <w:t>加油加气站</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0年；</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（十）容积率为：≤</w:t>
      </w:r>
      <w:r>
        <w:rPr>
          <w:rFonts w:hint="eastAsia" w:ascii="仿宋_GB2312" w:hAnsi="仿宋_GB2312" w:eastAsia="仿宋_GB2312" w:cs="仿宋_GB2312"/>
          <w:sz w:val="32"/>
          <w:szCs w:val="32"/>
          <w:lang w:val="en-US" w:eastAsia="zh-CN"/>
        </w:rPr>
        <w:t>0.13</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）适建性：</w:t>
      </w:r>
      <w:r>
        <w:rPr>
          <w:rFonts w:hint="eastAsia" w:ascii="仿宋_GB2312" w:hAnsi="仿宋_GB2312" w:eastAsia="仿宋_GB2312" w:cs="仿宋_GB2312"/>
          <w:sz w:val="32"/>
          <w:szCs w:val="32"/>
          <w:lang w:val="en-US" w:eastAsia="zh-CN"/>
        </w:rPr>
        <w:t>加油站及配套设施；</w:t>
      </w:r>
      <w:r>
        <w:rPr>
          <w:rFonts w:hint="eastAsia" w:ascii="仿宋_GB2312" w:hAnsi="仿宋_GB2312" w:eastAsia="仿宋_GB2312" w:cs="仿宋_GB2312"/>
          <w:sz w:val="32"/>
          <w:szCs w:val="32"/>
        </w:rPr>
        <w:t xml:space="preserve">  </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）动工及竣工时间：该地块的动工时间为地块交付之日起一年内，竣工时间为动工之日起三年内（因不可抗拒因素除外）；</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）竞得人在缴清地价款后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个月内办理交地手续，凭《交地确认书》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出让合同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和地价款交款凭证</w:t>
      </w:r>
      <w:r>
        <w:rPr>
          <w:rFonts w:hint="eastAsia" w:ascii="仿宋_GB2312" w:hAnsi="仿宋_GB2312" w:eastAsia="仿宋_GB2312" w:cs="仿宋_GB2312"/>
          <w:sz w:val="32"/>
          <w:szCs w:val="32"/>
        </w:rPr>
        <w:t>等申请办理土地初始登记，领取《不动产权证书》。</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（一）开发投资总额不少于7000万元（含地价）。</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（二）土地成交价款须以人民币支付,竞得人在签订《出让合同》之日起30日内付清全部成交价款。</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（三）该地权利清晰，安置补偿落实到位，没有法律经济纠纷，具备动工开发所必须的基本条件。</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竞得人在用地红线内开发建设必须符合城市规划要求，必须按《规划设计条件告知书》（案卷编号：PB20190047）及《关于惠城区高新科技产业园南部片区B-10-02地块规划要点核实的函》（HCPB20200005）规划控制指标要求及有关规定进行规划设计。</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五、竞买资格及要求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中华人民共和国境内外的法人和其他组织（除法律法规另有规定外），均可申请参加竞买。申请人可以单独申请，也可以联合申请。申请人还应具备下列条件：</w:t>
      </w:r>
    </w:p>
    <w:p>
      <w:pPr>
        <w:numPr>
          <w:ilvl w:val="0"/>
          <w:numId w:val="1"/>
        </w:num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按时，足额交纳竞买保证金。该宗地竞买保证金为</w:t>
      </w:r>
      <w:r>
        <w:rPr>
          <w:rFonts w:hint="eastAsia" w:ascii="仿宋_GB2312" w:hAnsi="仿宋_GB2312" w:eastAsia="仿宋_GB2312" w:cs="仿宋_GB2312"/>
          <w:sz w:val="32"/>
          <w:szCs w:val="32"/>
          <w:lang w:val="en-US" w:eastAsia="zh-CN"/>
        </w:rPr>
        <w:t>1800</w:t>
      </w:r>
      <w:r>
        <w:rPr>
          <w:rFonts w:hint="eastAsia" w:ascii="仿宋_GB2312" w:hAnsi="仿宋_GB2312" w:eastAsia="仿宋_GB2312" w:cs="仿宋_GB2312"/>
          <w:sz w:val="32"/>
          <w:szCs w:val="32"/>
        </w:rPr>
        <w:t>万元民币。</w:t>
      </w:r>
    </w:p>
    <w:p>
      <w:pPr>
        <w:numPr>
          <w:ilvl w:val="0"/>
          <w:numId w:val="1"/>
        </w:num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预先办理数字证书。本次国有建设用地使用权网上挂牌出让只能在互联网上，通过惠州市公共资源交易中心土地与矿业网上挂牌交易系统（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numPr>
          <w:ilvl w:val="0"/>
          <w:numId w:val="1"/>
        </w:num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申请人及其控股股东存在下列行为之一的，不得参与上述地块竞买活动：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六、违约及处理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竞得人缴交的保证金中按成交价的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0%转作定金.竞得人有下列行为之一的，视为违约，取消竞得人资格，定金不予退还,并由有关部门依法处理;造成损失的，竞得人还应依法承担赔偿责任：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（二）采取行贿、恶意串通等非法手段竞得的。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（三）竞得人以其他非法手段竞得的。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（四）竞得人逾期或拒绝签订《成交确认书》的。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（五）竞得人逾期或拒绝签订《出让合同》的。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（六）不按本须知规定提供有关纸质文件材料，或提供虚假文件材料、隐瞒重要事实，引起交易纠纷的。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（七）构成违约责任的其他行为。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仟万元整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6000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伍拾</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八、本次网上挂牌出让活动有关时间</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网上挂牌时间为10个工作日，不包括法定节假日。具体如下：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（一）网上挂牌起始时间：2020年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（二）网上挂牌截止时间：2020年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日10时。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（三）网上挂牌交纳保证金截止时间：2020年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（四）网上挂牌报价时间：网上挂牌起止时间内。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1、《惠州市国有建设用地使用权和矿业权电子挂牌交易规则》；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2、《惠州市国有建设用地使用权网上挂牌交易操作说明》；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3、网上挂牌出让公告；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4、挂牌出让地块现状图；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5、惠州市国有建设用地使用权网上挂牌出让须知；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6、竞买申请书（样本）；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7、惠州市公共资源交易中心土地与矿业网上挂牌交易成交通知书（样本）；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8、《国有建设用地使用权出让合同》（以下简称“出让合同”）样本；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10、附件。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十二、竞买保证金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20</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壹仟捌佰万元整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1800</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（四）跨地区或跨行转账的竞买人，需预足资金的在途时间，以免影响竞买人及时取得竞买资格。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（五）竞买保证金到账时间以网上挂牌交易系统颁发《保证金到账通知书》为准。</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（六）竞买保证金开户单位：惠州市公共资源交易中</w:t>
      </w:r>
    </w:p>
    <w:p>
      <w:pPr>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（七）开户银行：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1、中国建设银行惠州广场支行。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2、中国银行惠州分行。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3、中国工商银行股份有限公司惠州富力国际中心支行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4、中国农业银行惠州分行。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5、中信银行股份有限公司惠州分行。(备注:中信银行股份有限公司惠州分行本行转帐须到银行柜面办理)。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6、惠州市农村商业银行股份有限公司惠城支行。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7、交通银行惠州分行。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eastAsia="仿宋_GB2312"/>
          <w:sz w:val="32"/>
          <w:szCs w:val="32"/>
          <w:lang w:val="en-US" w:eastAsia="zh-CN"/>
        </w:rPr>
        <w:t>11、中国光大银行股份有限公司惠州分行。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（八）保证金账号：网上挂牌交易系统随机产生子账号。</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十三、网上报价规则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（一）本次网上挂牌以增价方式进行报价，每次加价幅度为本须知规定增价幅度的整数倍。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（二）竞买人的首次报价不低于起始价，此后的竞买人报价须高于报价当时的最新网上挂牌价格，并以增价幅度的整数倍加价。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（三）竞买人通过网上挂牌交易提交的报价一经报出，不得撤回。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（五）在报价期内，竞买人必须进行一次有效报价，才能参加网上限时竞价。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（六）竞买人报价有下列情形之一的，为无效报价：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1、报价未在网上挂牌期限内收到的。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2、报价因竞买人网络故障未在网上挂牌报价期限内收到的。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3、报价不符合报价规则的。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4、报价低于网上挂牌起始价的。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、网上挂牌程序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（一）公布网上挂牌信息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（二）申请竞买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（三）交纳保证金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1、网上挂牌交易从网上挂牌起始时间起开始接受报价。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2、办理好数字证书、按时足额交付竞买保证金并经网上挂牌交易系统确认的竞买人通过网上挂牌交易系统进行报价。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3、网上挂牌交易系统对符合规定的报价予以确认，并更新显示当前报价。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4、网上挂牌交易系统继续接受新的报价。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5、网上挂牌报价规则见《须知》第十三条。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网上挂牌截止由网上挂牌交易系统自动确定。在公告规定的网上挂牌截止时间，网上挂牌交易系统将显示最高报价，并询问竞买人是否愿意继续竞价（限时竞价）。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1、网上挂牌交易系统将在网上挂牌截止时间自动确定网上挂牌截止。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2、网上挂牌交易系统显示最高报价，并询问竞买人是否愿意继续竞价。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4、有竞买人表示愿意继续竞价的，网上挂牌交易系统自动进入网上限时竞价程序。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5、经网上挂牌交易系统询问完毕后，没有竞买人表示愿意继续竞价的，网上挂牌交易系统按下列规定确定网上挂牌结果：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（1）最高报价高于或等于起始价的，网上挂牌交易系统显示网上挂牌成交，最高报价的出价人为竞得人。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（2）无人应价的，网上挂牌交易显示网上挂牌不成交。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2、5分钟限时竞价内没有新的报价，网上挂牌交易系统将自动关闭报价通道，当前最高报价为最终报价，网上挂牌交易系统确认最高报价者为竞得人。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3、在网上限时竞价中无人报价的，以网上挂牌截止时出价最高者为竞得人，但低于网上挂牌交易底价者除外。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1、网上挂牌交易结束后，竞得人应当自行下载打印《竞买申请书》、《竞价结果通知书》并盖章。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2、竞得人应当在网上挂牌交易结果公布之日起5个工作日内持下列有关纸质材料到本中心进行资格审查并签订《成交确认书》：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竞买人如需保存上述竞买报名资料应自留备份，本中心不予退还。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上述文件中，申请书必须用中文书写，其他文件可以使用其它语言，但必须附中文译本，所有文件的解释以中文译本为准。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（八）网上挂牌出让结果公示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土地网上挂牌实行资格后审，不能通过资格审查的竞得人无效，不予签订《惠州市国有建设用地使用权电子挂牌交易成交确认书》（以下简称《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（五）确定竞得人后，竞得人持《惠州市公共资源交易中心网上挂牌竞价结果通知书》以及参加本宗地网上挂牌交易的所须资料到惠州市公共资源交易中心土地矿业交易部申办相关成交确认手续。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《惠州市公共资源交易中心网上挂牌竞价结果通知书》对挂牌人和竞得人具有法律效力，挂牌人改变网上挂牌结果的，或者竞得人放弃竞得宗地的，应当承担相应法律责任。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（六）竞得人缴纳的竞买保证金，网上挂牌成交后，竞得人应到我中心办理保证金转付地价款手续(保证金中按成交价款的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0%转作受让地块的定金）。未竞得人缴交的竞买保证金，在网上挂牌活动结束后5个工作日内，带齐相关资料（《保证金到帐通知书》及进账单等）到本中心退还保证金，不计利息。</w:t>
      </w:r>
    </w:p>
    <w:p>
      <w:pPr>
        <w:ind w:firstLine="640" w:firstLineChars="200"/>
        <w:rPr>
          <w:rFonts w:ascii="Calibri" w:eastAsia="宋体"/>
          <w:kern w:val="0"/>
          <w:sz w:val="24"/>
        </w:rPr>
      </w:pPr>
      <w:r>
        <w:rPr>
          <w:rFonts w:hint="eastAsia" w:ascii="仿宋_GB2312" w:eastAsia="仿宋_GB2312"/>
          <w:sz w:val="32"/>
          <w:szCs w:val="32"/>
        </w:rPr>
        <w:t>保证金少于成交价</w:t>
      </w:r>
      <w:r>
        <w:rPr>
          <w:rFonts w:hint="eastAsia" w:ascii="仿宋_GB2312" w:eastAsia="仿宋_GB2312"/>
          <w:sz w:val="32"/>
          <w:szCs w:val="32"/>
          <w:lang w:val="en-US" w:eastAsia="zh-CN"/>
        </w:rPr>
        <w:t>2</w:t>
      </w:r>
      <w:r>
        <w:rPr>
          <w:rFonts w:hint="eastAsia" w:ascii="仿宋_GB2312" w:eastAsia="仿宋_GB2312"/>
          <w:sz w:val="32"/>
          <w:szCs w:val="32"/>
        </w:rPr>
        <w:t>0%的，不足部分由竞得人在签订《成交确认书》之日起5个工作日内付清。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七）竞得人签订《国有建设用地使用权网上挂牌成交确认书》后，竞买保证金抵作土地出让价款，成交价款余款在签订《出让合同》之日起30日内一次性付清，逾期未缴纳的，按合同有关规定处理。《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逾期自动解除《成交确认书》，定金不予返还</w:t>
      </w:r>
      <w:r>
        <w:rPr>
          <w:rFonts w:hint="eastAsia" w:ascii="仿宋_GB2312" w:hAnsi="仿宋_GB2312" w:eastAsia="仿宋_GB2312" w:cs="仿宋_GB2312"/>
          <w:sz w:val="32"/>
          <w:szCs w:val="32"/>
        </w:rPr>
        <w:t>。</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为避免网络延迟问题，竞买人首次出价应在网上挂牌截止前10分钟出价，以防止网上挂牌交易无法及时接收到报价的情况发生。5分钟倒计时竞价期间，请不要在最后时段报价，以防网络延时造成报价提交不成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（九）有下列情形之一的，本中心将暂停、中止或终止网上挂牌交易活动：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1、网上挂牌交易系统受到网络恶意入侵的。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2、因网上挂牌交易系统遭受破坏或发生电力、网络故障等不可抗力因素，导致网上挂牌交易系统不能正常运行的。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3、网上挂牌交易委托人根据有关规定要求暂停、中止或终止网上挂牌交易活动的。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4、涉及土地或矿业权纠纷，不能及时解决的。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5、司法机关要求暂停、中止或终止网上挂牌交易活动的。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6、市自然资源管理部门认为应当暂停、中止或终止网上挂牌交易活动的其他情形。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（十）网上挂牌成交价即为该幅地块的总地价款，竞得人除支付成交价款外，还需支付契税、印花税等有关费用。</w:t>
      </w:r>
    </w:p>
    <w:p>
      <w:pPr>
        <w:ind w:firstLine="640" w:firstLineChars="200"/>
      </w:pPr>
      <w:r>
        <w:rPr>
          <w:rFonts w:hint="eastAsia" w:ascii="仿宋_GB2312" w:hAnsi="仿宋_GB2312" w:eastAsia="仿宋_GB2312" w:cs="仿宋_GB2312"/>
          <w:sz w:val="32"/>
          <w:szCs w:val="32"/>
        </w:rPr>
        <w:t>（十一）该宗地使用网上挂牌方式出让，</w:t>
      </w:r>
      <w:r>
        <w:rPr>
          <w:rFonts w:hint="eastAsia" w:ascii="仿宋_GB2312" w:eastAsia="仿宋_GB2312"/>
          <w:sz w:val="32"/>
          <w:szCs w:val="32"/>
        </w:rPr>
        <w:t>交易全程适用《惠州市国有建设用地使用权和矿业权电子挂牌交易规则》</w:t>
      </w:r>
      <w:r>
        <w:rPr>
          <w:rFonts w:hint="eastAsia" w:ascii="仿宋_GB2312" w:hAnsi="仿宋_GB2312" w:eastAsia="仿宋_GB2312" w:cs="仿宋_GB2312"/>
          <w:sz w:val="32"/>
          <w:szCs w:val="32"/>
        </w:rPr>
        <w:t>（惠府〔2014〕167号）。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（十二）竞得人与出让人签订《出让合同》后，应当按出让合同约定支付网上挂牌成交价款。竞得人付清全部网上挂牌成交价款后，依法申请办理土地登记，领取《不动产权证书》。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（十三）网上挂牌不成交的，应当按规定由委托方和本中心重新组织出让。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（十四）本中心认为需要对网上挂牌出让须知、公告及相关交易文件作出修改、补充时，将通过原公告发布渠道公告，不作另行通知。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（十五）本须知及公告涉及的时间期限，以惠州市公共资源交易中心土地与矿业网上挂牌交易系统服务器的时间为准。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（十六）竞买人在本次网上挂牌交易过程中与惠州市公共资源交易中心发生任何争议，由双方协商。协商不成的可依法提交惠州市仲裁机构仲裁解决。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（十七）本中心对本《须知》有解释权。未尽事宜依照《招标拍卖挂牌出让国有土地使用权规范》办理。</w:t>
      </w:r>
    </w:p>
    <w:p>
      <w:pPr>
        <w:ind w:right="320"/>
        <w:jc w:val="right"/>
        <w:rPr>
          <w:rFonts w:ascii="仿宋_GB2312" w:hAnsi="仿宋_GB2312" w:eastAsia="仿宋_GB2312" w:cs="仿宋_GB2312"/>
          <w:sz w:val="32"/>
          <w:szCs w:val="32"/>
        </w:rPr>
      </w:pPr>
    </w:p>
    <w:p>
      <w:pPr>
        <w:wordWrap w:val="0"/>
        <w:jc w:val="center"/>
        <w:rPr>
          <w:rFonts w:ascii="仿宋_GB2312" w:hAnsi="仿宋_GB2312" w:eastAsia="仿宋_GB2312" w:cs="仿宋_GB2312"/>
          <w:sz w:val="32"/>
          <w:szCs w:val="32"/>
        </w:rPr>
      </w:pPr>
      <w:bookmarkStart w:id="3" w:name="_GoBack"/>
      <w:bookmarkEnd w:id="3"/>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惠州市公共资源交易中心  </w:t>
      </w:r>
    </w:p>
    <w:p>
      <w:pPr>
        <w:wordWrap w:val="0"/>
        <w:ind w:firstLine="4160" w:firstLineChars="1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1659"/>
      <w:docPartObj>
        <w:docPartGallery w:val="autotext"/>
      </w:docPartObj>
    </w:sdtPr>
    <w:sdtContent>
      <w:p>
        <w:pPr>
          <w:pStyle w:val="3"/>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820493"/>
    <w:multiLevelType w:val="singleLevel"/>
    <w:tmpl w:val="D08204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EB677C"/>
    <w:rsid w:val="0002672C"/>
    <w:rsid w:val="000302E4"/>
    <w:rsid w:val="00031CCA"/>
    <w:rsid w:val="00050DF1"/>
    <w:rsid w:val="000752D8"/>
    <w:rsid w:val="00084498"/>
    <w:rsid w:val="000855C0"/>
    <w:rsid w:val="000929F7"/>
    <w:rsid w:val="000A42CD"/>
    <w:rsid w:val="000A65CE"/>
    <w:rsid w:val="000C5AEA"/>
    <w:rsid w:val="000E6C20"/>
    <w:rsid w:val="000F397F"/>
    <w:rsid w:val="00104D0E"/>
    <w:rsid w:val="0011092C"/>
    <w:rsid w:val="00111FAC"/>
    <w:rsid w:val="001204DF"/>
    <w:rsid w:val="001656EA"/>
    <w:rsid w:val="00187389"/>
    <w:rsid w:val="00192383"/>
    <w:rsid w:val="00195C5B"/>
    <w:rsid w:val="001C073A"/>
    <w:rsid w:val="001C2329"/>
    <w:rsid w:val="001E7828"/>
    <w:rsid w:val="00212B62"/>
    <w:rsid w:val="00217790"/>
    <w:rsid w:val="00250D4E"/>
    <w:rsid w:val="002778C7"/>
    <w:rsid w:val="002A741E"/>
    <w:rsid w:val="002D00AC"/>
    <w:rsid w:val="002F060E"/>
    <w:rsid w:val="002F2591"/>
    <w:rsid w:val="0030191F"/>
    <w:rsid w:val="00305BDD"/>
    <w:rsid w:val="00310DFA"/>
    <w:rsid w:val="00313870"/>
    <w:rsid w:val="0032160A"/>
    <w:rsid w:val="00326B6D"/>
    <w:rsid w:val="00327A98"/>
    <w:rsid w:val="00335A17"/>
    <w:rsid w:val="00363E41"/>
    <w:rsid w:val="00392954"/>
    <w:rsid w:val="003A7D19"/>
    <w:rsid w:val="0040773F"/>
    <w:rsid w:val="00445607"/>
    <w:rsid w:val="004919C6"/>
    <w:rsid w:val="00492998"/>
    <w:rsid w:val="004A77B5"/>
    <w:rsid w:val="004B265D"/>
    <w:rsid w:val="004C1427"/>
    <w:rsid w:val="00562228"/>
    <w:rsid w:val="00587C1C"/>
    <w:rsid w:val="005B6B94"/>
    <w:rsid w:val="005E4B69"/>
    <w:rsid w:val="00615740"/>
    <w:rsid w:val="006B13D9"/>
    <w:rsid w:val="006B36E6"/>
    <w:rsid w:val="006B4DCB"/>
    <w:rsid w:val="006E2333"/>
    <w:rsid w:val="006F3CE4"/>
    <w:rsid w:val="00752D3D"/>
    <w:rsid w:val="007622DB"/>
    <w:rsid w:val="00770058"/>
    <w:rsid w:val="00773904"/>
    <w:rsid w:val="007A1844"/>
    <w:rsid w:val="007F05F1"/>
    <w:rsid w:val="00803BC3"/>
    <w:rsid w:val="00826D3A"/>
    <w:rsid w:val="00831620"/>
    <w:rsid w:val="0084509F"/>
    <w:rsid w:val="008475AE"/>
    <w:rsid w:val="008534B6"/>
    <w:rsid w:val="008709FA"/>
    <w:rsid w:val="00874031"/>
    <w:rsid w:val="008A764B"/>
    <w:rsid w:val="008C09CA"/>
    <w:rsid w:val="008C7B6B"/>
    <w:rsid w:val="008D7A86"/>
    <w:rsid w:val="00902BED"/>
    <w:rsid w:val="00933481"/>
    <w:rsid w:val="00946A82"/>
    <w:rsid w:val="0095754F"/>
    <w:rsid w:val="00957F2E"/>
    <w:rsid w:val="009A0E85"/>
    <w:rsid w:val="009A28DD"/>
    <w:rsid w:val="009A4204"/>
    <w:rsid w:val="00A45ECD"/>
    <w:rsid w:val="00A51D7C"/>
    <w:rsid w:val="00A814F3"/>
    <w:rsid w:val="00AB60A4"/>
    <w:rsid w:val="00AD14AE"/>
    <w:rsid w:val="00AF6441"/>
    <w:rsid w:val="00B117FE"/>
    <w:rsid w:val="00B11C63"/>
    <w:rsid w:val="00B40DA1"/>
    <w:rsid w:val="00B54E2E"/>
    <w:rsid w:val="00B8145D"/>
    <w:rsid w:val="00B83114"/>
    <w:rsid w:val="00B91855"/>
    <w:rsid w:val="00B97217"/>
    <w:rsid w:val="00BA61A4"/>
    <w:rsid w:val="00BC08A0"/>
    <w:rsid w:val="00C12E89"/>
    <w:rsid w:val="00C61F75"/>
    <w:rsid w:val="00C76EFB"/>
    <w:rsid w:val="00C77173"/>
    <w:rsid w:val="00C93D8B"/>
    <w:rsid w:val="00C968C7"/>
    <w:rsid w:val="00CA2DA5"/>
    <w:rsid w:val="00CB604F"/>
    <w:rsid w:val="00CC75DA"/>
    <w:rsid w:val="00CE5351"/>
    <w:rsid w:val="00CE717B"/>
    <w:rsid w:val="00CF0C5C"/>
    <w:rsid w:val="00CF43E2"/>
    <w:rsid w:val="00D20F96"/>
    <w:rsid w:val="00D33098"/>
    <w:rsid w:val="00D41524"/>
    <w:rsid w:val="00D47268"/>
    <w:rsid w:val="00DA199E"/>
    <w:rsid w:val="00DC7D06"/>
    <w:rsid w:val="00E233D0"/>
    <w:rsid w:val="00E5110D"/>
    <w:rsid w:val="00E93AE8"/>
    <w:rsid w:val="00EC3CE4"/>
    <w:rsid w:val="00EC5DE6"/>
    <w:rsid w:val="00F11CF0"/>
    <w:rsid w:val="00F13D2D"/>
    <w:rsid w:val="00F24EAE"/>
    <w:rsid w:val="00F2671A"/>
    <w:rsid w:val="00FA4D54"/>
    <w:rsid w:val="00FE5BDE"/>
    <w:rsid w:val="00FF52AB"/>
    <w:rsid w:val="04F27087"/>
    <w:rsid w:val="08CC04B9"/>
    <w:rsid w:val="101C6BCC"/>
    <w:rsid w:val="14EB677C"/>
    <w:rsid w:val="154759C6"/>
    <w:rsid w:val="17311417"/>
    <w:rsid w:val="18510C91"/>
    <w:rsid w:val="1CC405AD"/>
    <w:rsid w:val="1E00765D"/>
    <w:rsid w:val="20084A7E"/>
    <w:rsid w:val="21921AA8"/>
    <w:rsid w:val="26D60318"/>
    <w:rsid w:val="27DE56C0"/>
    <w:rsid w:val="27ED5E1D"/>
    <w:rsid w:val="316A656E"/>
    <w:rsid w:val="31F23704"/>
    <w:rsid w:val="326A600B"/>
    <w:rsid w:val="35C83B59"/>
    <w:rsid w:val="37C43079"/>
    <w:rsid w:val="38186D80"/>
    <w:rsid w:val="3C736EDC"/>
    <w:rsid w:val="3C995B83"/>
    <w:rsid w:val="3D40465E"/>
    <w:rsid w:val="3F2E549B"/>
    <w:rsid w:val="4BDF71CC"/>
    <w:rsid w:val="516A7DB7"/>
    <w:rsid w:val="523475D7"/>
    <w:rsid w:val="55951802"/>
    <w:rsid w:val="56866DDC"/>
    <w:rsid w:val="56945924"/>
    <w:rsid w:val="582504A2"/>
    <w:rsid w:val="5A5A002D"/>
    <w:rsid w:val="5AB914D6"/>
    <w:rsid w:val="68B71DBA"/>
    <w:rsid w:val="69DA6D7C"/>
    <w:rsid w:val="69F51B6E"/>
    <w:rsid w:val="6A27187C"/>
    <w:rsid w:val="6B1A192E"/>
    <w:rsid w:val="6BD979AB"/>
    <w:rsid w:val="6BDC7DA2"/>
    <w:rsid w:val="6ED55099"/>
    <w:rsid w:val="722C47F5"/>
    <w:rsid w:val="78540657"/>
    <w:rsid w:val="7AF36CE3"/>
    <w:rsid w:val="7D0755AB"/>
    <w:rsid w:val="7DFB3A49"/>
    <w:rsid w:val="7E683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Char"/>
    <w:basedOn w:val="5"/>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D8305-1A45-4453-BE2D-41A762C36762}">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20</Pages>
  <Words>1347</Words>
  <Characters>7678</Characters>
  <Lines>63</Lines>
  <Paragraphs>18</Paragraphs>
  <TotalTime>17</TotalTime>
  <ScaleCrop>false</ScaleCrop>
  <LinksUpToDate>false</LinksUpToDate>
  <CharactersWithSpaces>9007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2019-01-11T01:30:00Z</dcterms:created>
  <dc:creator>刘智东</dc:creator>
  <cp:lastModifiedBy>黄春枚</cp:lastModifiedBy>
  <cp:lastPrinted>2020-07-15T07:23:00Z</cp:lastPrinted>
  <dcterms:modified xsi:type="dcterms:W3CDTF">2020-07-16T07:16:53Z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