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eastAsia="zh-CN"/>
        </w:rPr>
        <w:t>惠州市江北东区JBD56-02-01地块;</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eastAsia="zh-CN"/>
        </w:rPr>
        <w:t>JBD56-02-01地块</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条件告知书(案卷编号:</w:t>
      </w:r>
      <w:r>
        <w:rPr>
          <w:rFonts w:hint="eastAsia" w:ascii="仿宋_GB2312" w:hAnsi="仿宋_GB2312" w:eastAsia="仿宋_GB2312" w:cs="仿宋_GB2312"/>
          <w:sz w:val="32"/>
          <w:szCs w:val="32"/>
          <w:lang w:eastAsia="zh-CN"/>
        </w:rPr>
        <w:t>PB20</w:t>
      </w:r>
      <w:r>
        <w:rPr>
          <w:rFonts w:hint="eastAsia" w:ascii="仿宋_GB2312" w:hAnsi="仿宋_GB2312" w:eastAsia="仿宋_GB2312" w:cs="仿宋_GB2312"/>
          <w:sz w:val="32"/>
          <w:szCs w:val="32"/>
          <w:lang w:val="en-US" w:eastAsia="zh-CN"/>
        </w:rPr>
        <w:t>200014</w:t>
      </w:r>
      <w:r>
        <w:rPr>
          <w:rFonts w:hint="eastAsia" w:ascii="仿宋_GB2312" w:hAnsi="仿宋_GB2312" w:eastAsia="仿宋_GB2312" w:cs="仿宋_GB2312"/>
          <w:sz w:val="32"/>
          <w:szCs w:val="32"/>
        </w:rPr>
        <w:t>号)》 （以下简称“《告知书》”）规定为准；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（五）宗地使用权面积为：</w:t>
      </w:r>
      <w:r>
        <w:rPr>
          <w:rFonts w:hint="eastAsia" w:ascii="仿宋_GB2312" w:hAnsi="仿宋_GB2312" w:eastAsia="仿宋_GB2312" w:cs="仿宋_GB2312"/>
          <w:sz w:val="32"/>
          <w:szCs w:val="32"/>
          <w:lang w:val="en-US" w:eastAsia="zh-CN"/>
        </w:rPr>
        <w:t>15009.02</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（六）计算指标用地面积为：</w:t>
      </w:r>
      <w:r>
        <w:rPr>
          <w:rFonts w:hint="eastAsia" w:ascii="仿宋_GB2312" w:hAnsi="仿宋_GB2312" w:eastAsia="仿宋_GB2312" w:cs="仿宋_GB2312"/>
          <w:sz w:val="32"/>
          <w:szCs w:val="32"/>
          <w:lang w:val="en-US" w:eastAsia="zh-CN"/>
        </w:rPr>
        <w:t>18025.55</w:t>
      </w:r>
      <w:r>
        <w:rPr>
          <w:rFonts w:hint="eastAsia" w:ascii="仿宋_GB2312" w:hAnsi="仿宋_GB2312" w:eastAsia="仿宋_GB2312" w:cs="仿宋_GB2312"/>
          <w:sz w:val="32"/>
          <w:szCs w:val="32"/>
        </w:rPr>
        <w:t>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）计容积率建筑面积为：≤</w:t>
      </w:r>
      <w:r>
        <w:rPr>
          <w:rFonts w:hint="eastAsia" w:ascii="仿宋_GB2312" w:hAnsi="仿宋_GB2312" w:eastAsia="仿宋_GB2312" w:cs="仿宋_GB2312"/>
          <w:sz w:val="32"/>
          <w:szCs w:val="32"/>
          <w:lang w:val="en-US" w:eastAsia="zh-CN"/>
        </w:rPr>
        <w:t>63091平方米(其中：</w:t>
      </w:r>
      <w:r>
        <w:rPr>
          <w:rFonts w:hint="eastAsia" w:ascii="仿宋_GB2312" w:hAnsi="仿宋_GB2312" w:eastAsia="仿宋_GB2312" w:cs="仿宋_GB2312"/>
          <w:sz w:val="32"/>
          <w:szCs w:val="32"/>
          <w:lang w:eastAsia="zh-CN"/>
        </w:rPr>
        <w:t>商业建筑面积≤15%（不得建设服务型公寓）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住宅建筑面积＜</w:t>
      </w:r>
      <w:r>
        <w:rPr>
          <w:rFonts w:hint="eastAsia" w:ascii="仿宋_GB2312" w:hAnsi="仿宋_GB2312" w:eastAsia="仿宋_GB2312" w:cs="仿宋_GB2312"/>
          <w:sz w:val="32"/>
          <w:szCs w:val="32"/>
          <w:lang w:val="en-US" w:eastAsia="zh-CN"/>
        </w:rPr>
        <w:t>53178平方米；配套设施建筑面积＞450平方米</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住宅、商业</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val="en-US" w:eastAsia="zh-CN"/>
        </w:rPr>
        <w:t>住宅</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商业</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0年；</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）容积率为：≤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 xml:space="preserve">；  </w:t>
      </w:r>
    </w:p>
    <w:p>
      <w:pPr>
        <w:tabs>
          <w:tab w:val="left" w:pos="3388"/>
        </w:tabs>
        <w:spacing w:line="560" w:lineRule="exact"/>
        <w:ind w:firstLine="320" w:firstLineChars="100"/>
        <w:jc w:val="left"/>
        <w:rPr>
          <w:rFonts w:hint="eastAsia" w:ascii="仿宋_GB2312" w:eastAsia="仿宋_GB2312" w:cs="Times New Roman"/>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w:t>
      </w:r>
      <w:r>
        <w:rPr>
          <w:rFonts w:hint="eastAsia" w:ascii="仿宋_GB2312" w:eastAsia="仿宋_GB2312"/>
          <w:sz w:val="32"/>
          <w:szCs w:val="32"/>
        </w:rPr>
        <w:t>建筑密度为：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（其中住宅建筑密度≤22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eastAsia="仿宋_GB2312" w:cs="Times New Roman"/>
          <w:sz w:val="32"/>
          <w:szCs w:val="32"/>
        </w:rPr>
        <w:t>；</w:t>
      </w:r>
    </w:p>
    <w:p>
      <w:pPr>
        <w:tabs>
          <w:tab w:val="left" w:pos="3388"/>
        </w:tabs>
        <w:spacing w:line="560" w:lineRule="exact"/>
        <w:ind w:firstLine="320" w:firstLineChars="1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）绿地率为：≥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 xml:space="preserve">）机动车停车位: </w:t>
      </w:r>
      <w:r>
        <w:rPr>
          <w:rFonts w:hint="eastAsia" w:ascii="仿宋_GB2312" w:hAnsi="仿宋_GB2312" w:eastAsia="仿宋_GB2312" w:cs="仿宋_GB2312"/>
          <w:sz w:val="32"/>
          <w:szCs w:val="32"/>
          <w:lang w:eastAsia="zh-CN"/>
        </w:rPr>
        <w:t>每100平方米计容积率建筑面积≥1个</w:t>
      </w:r>
      <w:r>
        <w:rPr>
          <w:rFonts w:hint="eastAsia" w:ascii="仿宋_GB2312" w:hAnsi="仿宋_GB2312" w:eastAsia="仿宋_GB2312" w:cs="仿宋_GB2312"/>
          <w:sz w:val="32"/>
          <w:szCs w:val="32"/>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w:t>
      </w:r>
      <w:r>
        <w:rPr>
          <w:rFonts w:hint="eastAsia" w:ascii="仿宋_GB2312" w:hAnsi="仿宋_GB2312" w:eastAsia="仿宋_GB2312" w:cs="仿宋_GB2312"/>
          <w:sz w:val="32"/>
          <w:szCs w:val="32"/>
          <w:lang w:eastAsia="zh-CN"/>
        </w:rPr>
        <w:t>住宅、商业及配套设施</w:t>
      </w:r>
      <w:r>
        <w:rPr>
          <w:rFonts w:hint="eastAsia" w:ascii="仿宋_GB2312" w:hAnsi="仿宋_GB2312" w:eastAsia="仿宋_GB2312" w:cs="仿宋_GB2312"/>
          <w:sz w:val="32"/>
          <w:szCs w:val="32"/>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color w:val="auto"/>
          <w:sz w:val="32"/>
          <w:szCs w:val="32"/>
          <w:lang w:val="en-US" w:eastAsia="zh-CN"/>
        </w:rPr>
        <w:t>53627</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pStyle w:val="2"/>
        <w:widowControl w:val="0"/>
        <w:spacing w:line="520" w:lineRule="exact"/>
        <w:jc w:val="both"/>
        <w:rPr>
          <w:rFonts w:hint="eastAsia" w:hAnsi="仿宋_GB2312" w:cs="仿宋_GB2312"/>
          <w:szCs w:val="32"/>
          <w:lang w:eastAsia="zh-CN"/>
        </w:rPr>
      </w:pPr>
      <w:r>
        <w:rPr>
          <w:rFonts w:hint="eastAsia" w:hAnsi="仿宋_GB2312" w:cs="仿宋_GB2312"/>
          <w:szCs w:val="32"/>
          <w:lang w:val="en-US" w:eastAsia="zh-CN"/>
        </w:rPr>
        <w:t>（四）</w:t>
      </w:r>
      <w:r>
        <w:rPr>
          <w:rFonts w:hint="eastAsia" w:hAnsi="仿宋_GB2312" w:cs="仿宋_GB2312"/>
          <w:szCs w:val="32"/>
          <w:lang w:eastAsia="zh-CN"/>
        </w:rPr>
        <w:t>竞得人在用地红线内开发建设必须符合城市规划要求，必须按《告知书》（案卷编号</w:t>
      </w:r>
      <w:r>
        <w:rPr>
          <w:rFonts w:hint="eastAsia" w:hAnsi="仿宋_GB2312" w:cs="仿宋_GB2312"/>
          <w:color w:val="auto"/>
          <w:szCs w:val="32"/>
          <w:lang w:eastAsia="zh-CN"/>
        </w:rPr>
        <w:t>：PB20</w:t>
      </w:r>
      <w:r>
        <w:rPr>
          <w:rFonts w:hint="eastAsia" w:hAnsi="仿宋_GB2312" w:cs="仿宋_GB2312"/>
          <w:color w:val="auto"/>
          <w:szCs w:val="32"/>
          <w:lang w:val="en-US" w:eastAsia="zh-CN"/>
        </w:rPr>
        <w:t>200014</w:t>
      </w:r>
      <w:r>
        <w:rPr>
          <w:rFonts w:hint="eastAsia" w:hAnsi="仿宋_GB2312" w:cs="仿宋_GB2312"/>
          <w:szCs w:val="32"/>
          <w:lang w:eastAsia="zh-CN"/>
        </w:rPr>
        <w:t>）规划控制指标要求及有关规定进行规划设计，</w:t>
      </w:r>
      <w:r>
        <w:rPr>
          <w:rFonts w:hint="eastAsia" w:hAnsi="仿宋_GB2312" w:cs="仿宋_GB2312"/>
          <w:szCs w:val="32"/>
          <w:lang w:val="en-US" w:eastAsia="zh-CN"/>
        </w:rPr>
        <w:t>并按要求配建相应的配套设施。</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6940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980</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7570</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叁亿肆仟柒佰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34700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伍佰</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500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14   </w:t>
      </w:r>
      <w:r>
        <w:rPr>
          <w:rFonts w:hint="eastAsia" w:ascii="仿宋_GB2312" w:hAnsi="仿宋_GB2312" w:eastAsia="仿宋_GB2312" w:cs="仿宋_GB2312"/>
          <w:sz w:val="32"/>
          <w:szCs w:val="32"/>
        </w:rPr>
        <w:t xml:space="preserve">  日9时整，竞买保证金为人民币</w:t>
      </w:r>
      <w:r>
        <w:rPr>
          <w:rFonts w:hint="eastAsia" w:ascii="仿宋_GB2312" w:hAnsi="仿宋_GB2312" w:eastAsia="仿宋_GB2312" w:cs="仿宋_GB2312"/>
          <w:sz w:val="32"/>
          <w:szCs w:val="32"/>
          <w:u w:val="single"/>
          <w:lang w:val="en-US" w:eastAsia="zh-CN"/>
        </w:rPr>
        <w:t>陆仟玖</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肆</w:t>
      </w:r>
      <w:r>
        <w:rPr>
          <w:rFonts w:hint="eastAsia" w:ascii="仿宋_GB2312" w:hAnsi="仿宋_GB2312" w:eastAsia="仿宋_GB2312" w:cs="仿宋_GB2312"/>
          <w:sz w:val="32"/>
          <w:szCs w:val="32"/>
          <w:u w:val="single"/>
        </w:rPr>
        <w:t>拾万元整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6940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玖佰捌</w:t>
      </w:r>
      <w:r>
        <w:rPr>
          <w:rFonts w:hint="eastAsia" w:ascii="仿宋_GB2312" w:hAnsi="仿宋_GB2312" w:eastAsia="仿宋_GB2312" w:cs="仿宋_GB2312"/>
          <w:sz w:val="32"/>
          <w:szCs w:val="32"/>
          <w:u w:val="single"/>
        </w:rPr>
        <w:t>拾万元整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980</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柒仟伍</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柒拾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7570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568"/>
        <w:rPr>
          <w:rFonts w:hint="eastAsia" w:ascii="仿宋_GB2312" w:eastAsia="仿宋_GB2312"/>
          <w:sz w:val="32"/>
          <w:szCs w:val="32"/>
        </w:rPr>
      </w:pPr>
      <w:r>
        <w:rPr>
          <w:rFonts w:hint="eastAsia" w:ascii="仿宋_GB2312" w:eastAsia="仿宋_GB2312"/>
          <w:sz w:val="32"/>
          <w:szCs w:val="32"/>
          <w:lang w:val="en-US" w:eastAsia="zh-CN"/>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0F1806"/>
    <w:rsid w:val="04AD7D35"/>
    <w:rsid w:val="054F511E"/>
    <w:rsid w:val="0CD05DB7"/>
    <w:rsid w:val="0F830A62"/>
    <w:rsid w:val="109A02CD"/>
    <w:rsid w:val="16283DCA"/>
    <w:rsid w:val="18E65A07"/>
    <w:rsid w:val="1C387F88"/>
    <w:rsid w:val="1C552ED6"/>
    <w:rsid w:val="1E192718"/>
    <w:rsid w:val="1FAB74B3"/>
    <w:rsid w:val="20061FAD"/>
    <w:rsid w:val="26067B89"/>
    <w:rsid w:val="2608519C"/>
    <w:rsid w:val="267D0353"/>
    <w:rsid w:val="296C67A2"/>
    <w:rsid w:val="2A8A6543"/>
    <w:rsid w:val="2B1F451B"/>
    <w:rsid w:val="2BAF1540"/>
    <w:rsid w:val="2D6206D4"/>
    <w:rsid w:val="2E441035"/>
    <w:rsid w:val="30853164"/>
    <w:rsid w:val="34405344"/>
    <w:rsid w:val="351709CA"/>
    <w:rsid w:val="385771C0"/>
    <w:rsid w:val="38AB40F2"/>
    <w:rsid w:val="39F76430"/>
    <w:rsid w:val="3BE56A3C"/>
    <w:rsid w:val="3DBA5BC3"/>
    <w:rsid w:val="3E3E281B"/>
    <w:rsid w:val="3E546F3E"/>
    <w:rsid w:val="3E5F4D8D"/>
    <w:rsid w:val="426E3FC4"/>
    <w:rsid w:val="43185547"/>
    <w:rsid w:val="4632212B"/>
    <w:rsid w:val="49EB09D0"/>
    <w:rsid w:val="4BB72777"/>
    <w:rsid w:val="575C2D03"/>
    <w:rsid w:val="5C2303AF"/>
    <w:rsid w:val="5C4C3ACF"/>
    <w:rsid w:val="5C731101"/>
    <w:rsid w:val="661C1CD7"/>
    <w:rsid w:val="67576BA1"/>
    <w:rsid w:val="68C033F6"/>
    <w:rsid w:val="68FB76FE"/>
    <w:rsid w:val="69CC62F3"/>
    <w:rsid w:val="6B405C37"/>
    <w:rsid w:val="70E3266E"/>
    <w:rsid w:val="71772A86"/>
    <w:rsid w:val="7E3C774C"/>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Calibri" w:hAnsi="Calibri"/>
      <w:kern w:val="2"/>
      <w:sz w:val="18"/>
      <w:szCs w:val="18"/>
    </w:rPr>
  </w:style>
  <w:style w:type="character" w:customStyle="1" w:styleId="8">
    <w:name w:val="页脚 Char"/>
    <w:basedOn w:val="5"/>
    <w:link w:val="3"/>
    <w:qFormat/>
    <w:uiPriority w:val="99"/>
    <w:rPr>
      <w:rFonts w:ascii="Calibri" w:hAnsi="Calibri"/>
      <w:kern w:val="2"/>
      <w:sz w:val="18"/>
      <w:szCs w:val="22"/>
    </w:rPr>
  </w:style>
  <w:style w:type="character" w:customStyle="1" w:styleId="9">
    <w:name w:val="正文文本缩进 Char"/>
    <w:basedOn w:val="5"/>
    <w:link w:val="2"/>
    <w:qFormat/>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2</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2020-04-30T08:52:00Z</cp:lastPrinted>
  <dcterms:modified xsi:type="dcterms:W3CDTF">2020-08-10T06:38:12Z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