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800" w:lineRule="exact"/>
        <w:ind w:left="0" w:right="0"/>
        <w:jc w:val="center"/>
        <w:textAlignment w:val="auto"/>
        <w:rPr>
          <w:rFonts w:hint="eastAsia" w:ascii="华文中宋" w:hAnsi="华文中宋" w:eastAsia="华文中宋" w:cs="华文中宋"/>
          <w:sz w:val="48"/>
          <w:szCs w:val="48"/>
        </w:rPr>
      </w:pPr>
      <w:r>
        <w:rPr>
          <w:rFonts w:hint="eastAsia" w:ascii="华文中宋" w:hAnsi="华文中宋" w:eastAsia="华文中宋" w:cs="华文中宋"/>
          <w:sz w:val="48"/>
          <w:szCs w:val="48"/>
        </w:rPr>
        <w:t>惠州市国有建设用地使用权网上挂牌出让竞买须知</w:t>
      </w:r>
    </w:p>
    <w:p>
      <w:pPr>
        <w:pStyle w:val="5"/>
        <w:keepNext w:val="0"/>
        <w:keepLines w:val="0"/>
        <w:widowControl/>
        <w:suppressLineNumbers w:val="0"/>
        <w:spacing w:before="75" w:beforeAutospacing="0" w:after="75" w:afterAutospacing="0" w:line="705" w:lineRule="atLeast"/>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惠公易土市直[202</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]0</w:t>
      </w:r>
      <w:r>
        <w:rPr>
          <w:rFonts w:hint="eastAsia" w:ascii="Times New Roman" w:hAnsi="Times New Roman" w:eastAsia="仿宋" w:cs="Times New Roman"/>
          <w:sz w:val="32"/>
          <w:szCs w:val="32"/>
          <w:lang w:val="en-US" w:eastAsia="zh-CN"/>
        </w:rPr>
        <w:t>07</w:t>
      </w:r>
      <w:r>
        <w:rPr>
          <w:rFonts w:hint="default" w:ascii="Times New Roman" w:hAnsi="Times New Roman" w:eastAsia="仿宋" w:cs="Times New Roman"/>
          <w:sz w:val="32"/>
          <w:szCs w:val="32"/>
        </w:rPr>
        <w:t>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二、本宗国有建设用地使用权网上挂牌出让遵循公开、公平、公正和诚实信用原则。</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三、中华人民共和国境内外的法人和其他组织（除法律法规另有规定外），符合竞买资格的，均可通过电子交易系统，申请参加电子挂牌交易活动。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国有建设用地使用权网上挂牌出让公告（以下简称“挂牌出让公告”）对竞买资格有特别要求的，以挂牌出让公告为准。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四、申请人对网上挂牌出让文件有疑问的，可在网上挂牌活动开始前以书面或者口头方式向惠州市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自然</w:t>
      </w:r>
      <w:r>
        <w:rPr>
          <w:rFonts w:hint="default" w:ascii="Times New Roman" w:hAnsi="Times New Roman" w:eastAsia="仿宋" w:cs="Times New Roman"/>
          <w:sz w:val="32"/>
          <w:szCs w:val="32"/>
          <w:lang w:val="en-US" w:eastAsia="zh-CN"/>
        </w:rPr>
        <w:t>资</w:t>
      </w:r>
      <w:r>
        <w:rPr>
          <w:rFonts w:hint="default" w:ascii="Times New Roman" w:hAnsi="Times New Roman" w:eastAsia="仿宋" w:cs="Times New Roman"/>
          <w:sz w:val="32"/>
          <w:szCs w:val="32"/>
        </w:rPr>
        <w:t>源局咨询。有意竞买者可自行踏勘现场（可在电子交易系统查阅位置图和现状图）。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五、网上挂牌交易程序</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（一）发布网上挂牌信息</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有关宗地的电子挂牌出让公告等相关信息通过中国土地市场网、广东省公共资源交易平台和电子交易系统等</w:t>
      </w:r>
      <w:r>
        <w:rPr>
          <w:rFonts w:hint="default" w:ascii="Times New Roman" w:hAnsi="Times New Roman" w:eastAsia="仿宋" w:cs="Times New Roman"/>
          <w:sz w:val="32"/>
          <w:szCs w:val="32"/>
          <w:lang w:val="en-US" w:eastAsia="zh-CN"/>
        </w:rPr>
        <w:t>媒介</w:t>
      </w:r>
      <w:r>
        <w:rPr>
          <w:rFonts w:hint="default" w:ascii="Times New Roman" w:hAnsi="Times New Roman" w:eastAsia="仿宋" w:cs="Times New Roman"/>
          <w:b w:val="0"/>
          <w:bCs w:val="0"/>
          <w:color w:val="auto"/>
          <w:sz w:val="32"/>
          <w:szCs w:val="32"/>
          <w:highlight w:val="none"/>
        </w:rPr>
        <w:t>及</w:t>
      </w:r>
      <w:r>
        <w:rPr>
          <w:rFonts w:hint="default" w:ascii="Times New Roman" w:hAnsi="Times New Roman" w:eastAsia="仿宋" w:cs="Times New Roman"/>
          <w:b w:val="0"/>
          <w:bCs w:val="0"/>
          <w:color w:val="auto"/>
          <w:sz w:val="32"/>
          <w:szCs w:val="32"/>
          <w:highlight w:val="none"/>
          <w:lang w:val="en-US" w:eastAsia="zh-CN"/>
        </w:rPr>
        <w:t>交易</w:t>
      </w:r>
      <w:r>
        <w:rPr>
          <w:rFonts w:hint="default" w:ascii="Times New Roman" w:hAnsi="Times New Roman" w:eastAsia="仿宋" w:cs="Times New Roman"/>
          <w:b w:val="0"/>
          <w:bCs w:val="0"/>
          <w:color w:val="auto"/>
          <w:sz w:val="32"/>
          <w:szCs w:val="32"/>
          <w:highlight w:val="none"/>
        </w:rPr>
        <w:t>场所发布</w:t>
      </w:r>
      <w:r>
        <w:rPr>
          <w:rFonts w:hint="default" w:ascii="Times New Roman" w:hAnsi="Times New Roman" w:eastAsia="仿宋" w:cs="Times New Roman"/>
          <w:sz w:val="32"/>
          <w:szCs w:val="32"/>
        </w:rPr>
        <w:t>。</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有意竞买者可登录电子交易系统网站(https://tdky.hzggzyjy.cn/)查询。</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（二）挂牌文件获取</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申请人可在电子交易系统浏览和下载本宗地网上挂牌出让文件，具体包括：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国有建设用地使用权网上挂牌出让公告；</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2、惠州市国有建设用地使用权网上挂牌出让竞买须知；</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3、挂牌出让地块现状图；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4、建设用地红线界限图；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5、建设用地规划设计条件；</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6、国有建设用地使用权网上挂牌成交确认书（样本）；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7、国有建设用地使用权出让合同（样本）；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8、其他相关文件。</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（三）办理数字证书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1、本宗国有建设用地使用权网上挂牌出让只能在互联网上，通过电子交易系统进行。只有通过网上注册、办理数字证书、按要求足额交付竞买保证金的申请人，才能参加网上挂牌交易活动。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数字证书的办理流程详见电子交易系统上的《数字证书办理指南》。</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（四）申请竞买</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（五）交纳竞买保证金并获得竞买报价权限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1、竞买保证金是申请人参加网上挂牌交易活动的资格条件。按规定将竞买保证金汇入指定账户，是参加网上挂牌交易活动的必经程序。</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2、竞买人应当提前交纳竞买保证金，以确保竞买保证金在到账截止时间前到账，超过到账截止时间到账的竞买保证金，电子交易系统将不予受理，造成的损失由竞买人自行承担。</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3、跨地区或跨行转账的竞买人，需预足资金的在途时间，以免影响竞买人及时取得竞买报价权限。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4、竞买保证金到账时间以电子交易系统确认并发出《竞买保证金到账通知书》为准。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5、竞买保证金开户单位：惠州市公共资源交易中心</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竞买保证金账号：电子交易系统随机产生竞买保证金支付账号。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开户银行：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（1）中国建设银行惠州广场支行；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（2）中国银行惠州分行；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（3）中国工商银行股份有限公司惠州富力国际中心支行 ；</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（4）中国农业银行惠州分行；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（5）广发银行惠州江北支行；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（6）交通银行惠州分行；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（7）惠州市农村商业银行股份有限公司惠城支行；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（8）上海浦东发展银行股份有限公司惠州分行 ；</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（9）中国民生银行股份有限公司惠州分行；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(10）中信银行股份有限公司惠州分行。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6、申请人应根据电子交易系统生成的随机保证金账号按时足额交纳竞买保证金，在电子交易系统确认竞买保证金按时足额到账之后，竞买人将被赋予对应宗地的竞买报价权限。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（六）竞买人电子报价及电子限时竞价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1、竞买人通过电子交易系统进行报价。电子报价和电子限时竞价按以下规则进行：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（1）增价方式进行报价；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（2）竞买人可多次报价；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（3）初次报价不得低于起始价；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（4）每次增价数额应是规定的增价幅度的整数倍；</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（5）每次报价应当比当前最高报价至少递增1个增价幅度。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2、竞买人应当谨慎报价，报价一经提交并经电子交易系统确认为有效报价，不可撤回。</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电子挂牌交易期限截止前，竞买人应当进行至少一次有效报价，方有资格参加</w:t>
      </w:r>
      <w:r>
        <w:rPr>
          <w:rFonts w:hint="default" w:ascii="Times New Roman" w:hAnsi="Times New Roman" w:eastAsia="仿宋" w:cs="Times New Roman"/>
          <w:sz w:val="32"/>
          <w:szCs w:val="32"/>
          <w:lang w:eastAsia="zh-CN"/>
        </w:rPr>
        <w:t>交易</w:t>
      </w:r>
      <w:r>
        <w:rPr>
          <w:rFonts w:hint="default" w:ascii="Times New Roman" w:hAnsi="Times New Roman" w:eastAsia="仿宋" w:cs="Times New Roman"/>
          <w:sz w:val="32"/>
          <w:szCs w:val="32"/>
        </w:rPr>
        <w:t>宗地的电子限时竞价。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3、电子限时竞价是指在挂牌出让公告规定的电子挂牌交易期限截止时，有2个以上的竞买人报价，且经电子交易系统询问，5分钟内限时决定是否愿意继续报价</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（七）确定成交候选人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电子挂牌交易按照下列规则确定成交候选人：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1、在电子挂牌交易期限内只有1个竞买人报价，且报价不低于起始价的，则该报价者为成交候选人；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2、电子挂牌交易期限内有2个以上的竞买人报价，经电子交易系统询问，无竞买人愿意参加电子限时竞价的，以当前报价最高且报价不低于起始价者为成交候选人；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3、电子挂牌交易期限内无报价的，挂牌不成交；</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4、进入电子限时竞价，电子限时竞价中报价最高且报价不低于起始价者为成交候选人；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5、进入电子限时竞价，但电子限时竞价中无竞买人报价的，以电子挂牌交易截止时报价最高且报价不低于起始价者为成交候选人。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八</w:t>
      </w:r>
      <w:r>
        <w:rPr>
          <w:rFonts w:hint="default" w:ascii="Times New Roman" w:hAnsi="Times New Roman" w:eastAsia="仿宋" w:cs="Times New Roman"/>
          <w:sz w:val="32"/>
          <w:szCs w:val="32"/>
        </w:rPr>
        <w:t>）公布交易结果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委托人确定竞得人后，由交易中心通过电子交易系统发布交易结果。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九</w:t>
      </w:r>
      <w:r>
        <w:rPr>
          <w:rFonts w:hint="default" w:ascii="Times New Roman" w:hAnsi="Times New Roman" w:eastAsia="仿宋" w:cs="Times New Roman"/>
          <w:sz w:val="32"/>
          <w:szCs w:val="32"/>
        </w:rPr>
        <w:t>）签订成交确认书和交易合同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六、系统操作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电子交易系统竞买人操作视频可在交易中心电子交易系统下载。</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七、注意事项</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单独申请竞买的，竞买申请人为非本市注册登记的企业，在竞得土地后，必须于 2 个月内在本市市场监管部门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联合申请竞买的，联合竞买人在提交竞买申请材料时，须提交联合竞买申请书和协议，协议主要约定联合各方的权利和义务、参与竞买的代表人、联合各方的出资比例等。联合竞买申请人竞得土地后须于 2 个月内在本市市场监管部门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（四）《竞价结果通知书》对委托人和成交候选人具有法律效力，委托人改变网上挂牌结果的，或者成交候选人放弃竞得宗地的，应当承担相应法律责任。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竞得人应按挂牌出让公告规定的时间与交易中心、委托人签订成交确认书，根据成交确认书约定的时间与委托人签订出让合同，并按合同约定支付成交价款。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买保证金到账通知书》、保证金转账凭证等）到交易中心退还保证金，退还的保证金不计利息。</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竞得人交纳的竞买保证金转付成交价款，办理转付成交价款手续应带齐如下相关资料：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rPr>
        <w:t>委托</w:t>
      </w:r>
      <w:r>
        <w:rPr>
          <w:rFonts w:hint="default" w:ascii="Times New Roman" w:hAnsi="Times New Roman" w:eastAsia="仿宋" w:cs="Times New Roman"/>
          <w:color w:val="auto"/>
          <w:sz w:val="32"/>
          <w:szCs w:val="32"/>
          <w:highlight w:val="none"/>
          <w:lang w:eastAsia="zh-CN"/>
        </w:rPr>
        <w:t>人</w:t>
      </w:r>
      <w:r>
        <w:rPr>
          <w:rFonts w:hint="default" w:ascii="Times New Roman" w:hAnsi="Times New Roman" w:eastAsia="仿宋" w:cs="Times New Roman"/>
          <w:color w:val="auto"/>
          <w:sz w:val="32"/>
          <w:szCs w:val="32"/>
          <w:highlight w:val="none"/>
        </w:rPr>
        <w:t>开具的成交价款缴款单；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2、惠州市非税收入缴款通知；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竞买</w:t>
      </w:r>
      <w:r>
        <w:rPr>
          <w:rFonts w:hint="default" w:ascii="Times New Roman" w:hAnsi="Times New Roman" w:eastAsia="仿宋" w:cs="Times New Roman"/>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竞价</w:t>
      </w:r>
      <w:r>
        <w:rPr>
          <w:rFonts w:hint="default" w:ascii="Times New Roman" w:hAnsi="Times New Roman" w:eastAsia="仿宋" w:cs="Times New Roman"/>
          <w:color w:val="auto"/>
          <w:sz w:val="32"/>
          <w:szCs w:val="32"/>
          <w:highlight w:val="none"/>
        </w:rPr>
        <w:t>结果通知书；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、保证金转账凭证。</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1、电子交易系统受到黑客、病毒恶意攻击的；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2、公共资源交易平台因停电、电子交易系统故障、网络故障、交易软件或数据库错误等因素影响到交易活动不能正常进行的；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3、电子交易系统发现有安全漏洞，有潜在泄密危险，无法保证电子交易信息安全和公平公正交易的；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4、政府有关行政主管部门及司法机关依法要求暂停、中止或终止交易的；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5、委托人书面通知交易中心要求暂停、中止或终止交易的；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6、依法应当暂停、中止或终止交易的其他情形。</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（八）网上挂牌成交价即为该宗地的出让总地价款，竞得人除支付成交价款外，还需支付契税、印花税等有关费用。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（九）竞得人与委托人签订出让合同后，应当按出让合同约定支付网上挂牌成交价款。竞得人付清全部成交价款后，依法申请办理土地登记，领取《不动产权证书》。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（十）网上挂牌不成交的，由委托人重新组织挂牌出让。</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（十一）挂牌出让公告、竞买须知及相关交易文件需要修改、补充时，将通过原挂牌出让公告发布渠道公告，不作另行通知。</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（十二）本须知及挂牌出让公告涉及的时间期限，以电子交易系统服务器的时间为准。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（十三）本《竞买须知》的最终解释权归交易中心所有。未尽事宜依照《招标拍卖挂牌出让国有土地使用权规范》办理。</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惠州市公共资源交易中心</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color w:val="auto"/>
          <w:sz w:val="32"/>
          <w:szCs w:val="32"/>
        </w:rPr>
      </w:pPr>
      <w:r>
        <w:rPr>
          <w:rFonts w:hint="default" w:ascii="Times New Roman" w:hAnsi="Times New Roman" w:eastAsia="仿宋" w:cs="Times New Roman"/>
          <w:sz w:val="32"/>
          <w:szCs w:val="32"/>
        </w:rPr>
        <w:t>                202</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11</w:t>
      </w:r>
      <w:bookmarkStart w:id="0" w:name="_GoBack"/>
      <w:bookmarkEnd w:id="0"/>
      <w:r>
        <w:rPr>
          <w:rFonts w:hint="default" w:ascii="Times New Roman" w:hAnsi="Times New Roman" w:eastAsia="仿宋" w:cs="Times New Roman"/>
          <w:sz w:val="32"/>
          <w:szCs w:val="32"/>
        </w:rPr>
        <w:t>日</w:t>
      </w:r>
    </w:p>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24E3590"/>
    <w:rsid w:val="03905CF8"/>
    <w:rsid w:val="04622C4A"/>
    <w:rsid w:val="06594FBB"/>
    <w:rsid w:val="066E2EB3"/>
    <w:rsid w:val="069302C0"/>
    <w:rsid w:val="08377625"/>
    <w:rsid w:val="0A3515BF"/>
    <w:rsid w:val="0C6577BA"/>
    <w:rsid w:val="0CB544B0"/>
    <w:rsid w:val="123A4835"/>
    <w:rsid w:val="13F64E65"/>
    <w:rsid w:val="154D7E92"/>
    <w:rsid w:val="16A71418"/>
    <w:rsid w:val="1AC62B22"/>
    <w:rsid w:val="1CCB74AC"/>
    <w:rsid w:val="1D526FDB"/>
    <w:rsid w:val="1E771830"/>
    <w:rsid w:val="2106242D"/>
    <w:rsid w:val="23D765FB"/>
    <w:rsid w:val="26692359"/>
    <w:rsid w:val="26C93D5C"/>
    <w:rsid w:val="27815E86"/>
    <w:rsid w:val="29265862"/>
    <w:rsid w:val="29426D34"/>
    <w:rsid w:val="2AEE0420"/>
    <w:rsid w:val="2C5D301B"/>
    <w:rsid w:val="2D2A53F5"/>
    <w:rsid w:val="2DB9508B"/>
    <w:rsid w:val="2E834821"/>
    <w:rsid w:val="2EEB2828"/>
    <w:rsid w:val="3319506B"/>
    <w:rsid w:val="336C5E12"/>
    <w:rsid w:val="35E2234D"/>
    <w:rsid w:val="36BB58C2"/>
    <w:rsid w:val="37FD4E36"/>
    <w:rsid w:val="3A2F5F21"/>
    <w:rsid w:val="3C2B6AEB"/>
    <w:rsid w:val="3D7B46F7"/>
    <w:rsid w:val="401C13CE"/>
    <w:rsid w:val="424A6D2D"/>
    <w:rsid w:val="459726C4"/>
    <w:rsid w:val="46124CFE"/>
    <w:rsid w:val="48E1183F"/>
    <w:rsid w:val="49C30460"/>
    <w:rsid w:val="4BEB5C94"/>
    <w:rsid w:val="4EA90876"/>
    <w:rsid w:val="4F562A55"/>
    <w:rsid w:val="50C12FDB"/>
    <w:rsid w:val="529E5DDE"/>
    <w:rsid w:val="536F1E76"/>
    <w:rsid w:val="541C07A8"/>
    <w:rsid w:val="55083DFC"/>
    <w:rsid w:val="5749741B"/>
    <w:rsid w:val="5DE303A8"/>
    <w:rsid w:val="5E0D69D2"/>
    <w:rsid w:val="5EC77216"/>
    <w:rsid w:val="5F2C5B50"/>
    <w:rsid w:val="5F350507"/>
    <w:rsid w:val="635546A8"/>
    <w:rsid w:val="63644431"/>
    <w:rsid w:val="664F245B"/>
    <w:rsid w:val="699C5CE0"/>
    <w:rsid w:val="6AE25807"/>
    <w:rsid w:val="6CD42890"/>
    <w:rsid w:val="70704C32"/>
    <w:rsid w:val="717528BB"/>
    <w:rsid w:val="71AB432A"/>
    <w:rsid w:val="732E70C4"/>
    <w:rsid w:val="73C66915"/>
    <w:rsid w:val="74F66FDF"/>
    <w:rsid w:val="757731E0"/>
    <w:rsid w:val="758D3297"/>
    <w:rsid w:val="79D51DC8"/>
    <w:rsid w:val="7A2A3540"/>
    <w:rsid w:val="7AA75EBD"/>
    <w:rsid w:val="7B5165B6"/>
    <w:rsid w:val="7BA42F32"/>
    <w:rsid w:val="7BC75280"/>
    <w:rsid w:val="7C211CE1"/>
    <w:rsid w:val="7E5073C7"/>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袁秀玲</cp:lastModifiedBy>
  <cp:lastPrinted>2025-12-12T08:18:00Z</cp:lastPrinted>
  <dcterms:modified xsi:type="dcterms:W3CDTF">2026-02-11T07:17:12Z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5C51D1BDAE9043D3A8C1A2F6EF44DCD5</vt:lpwstr>
  </property>
</Properties>
</file>