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惠公易土市直[</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026</w:t>
      </w:r>
      <w:r>
        <w:rPr>
          <w:rFonts w:hint="eastAsia" w:ascii="仿宋" w:hAnsi="仿宋" w:eastAsia="仿宋" w:cs="仿宋"/>
          <w:color w:val="auto"/>
          <w:sz w:val="32"/>
          <w:szCs w:val="32"/>
        </w:rPr>
        <w:t>号</w:t>
      </w:r>
    </w:p>
    <w:p>
      <w:pPr>
        <w:ind w:firstLine="640" w:firstLineChars="20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自然人</w:t>
      </w:r>
      <w:r>
        <w:rPr>
          <w:rFonts w:hint="eastAsia" w:ascii="仿宋" w:hAnsi="仿宋" w:eastAsia="仿宋" w:cs="仿宋"/>
          <w:color w:val="auto"/>
          <w:sz w:val="32"/>
          <w:szCs w:val="32"/>
        </w:rPr>
        <w:t>和其他</w:t>
      </w:r>
      <w:r>
        <w:rPr>
          <w:rFonts w:hint="eastAsia" w:ascii="仿宋" w:hAnsi="仿宋" w:eastAsia="仿宋" w:cs="仿宋"/>
          <w:color w:val="auto"/>
          <w:sz w:val="32"/>
          <w:szCs w:val="32"/>
          <w:lang w:val="en-US" w:eastAsia="zh-CN"/>
        </w:rPr>
        <w:t>经济</w:t>
      </w:r>
      <w:bookmarkStart w:id="0" w:name="_GoBack"/>
      <w:bookmarkEnd w:id="0"/>
      <w:r>
        <w:rPr>
          <w:rFonts w:hint="eastAsia" w:ascii="仿宋" w:hAnsi="仿宋" w:eastAsia="仿宋" w:cs="仿宋"/>
          <w:color w:val="auto"/>
          <w:sz w:val="32"/>
          <w:szCs w:val="32"/>
        </w:rPr>
        <w:t>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惠州市市本级国有建设用地使用权网上挂牌出让公告（以下简称“挂牌出让公告”）对竞买资格有特别要求的，以挂牌出让公告为准。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1、惠州市市本级国有建设用地使用权网上挂牌出让公告；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建设用地</w:t>
      </w:r>
      <w:r>
        <w:rPr>
          <w:rFonts w:hint="eastAsia" w:ascii="仿宋" w:hAnsi="仿宋" w:eastAsia="仿宋" w:cs="仿宋"/>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u w:val="none"/>
          <w:lang w:val="en-US" w:eastAsia="zh-CN"/>
        </w:rPr>
      </w:pPr>
      <w:r>
        <w:rPr>
          <w:rFonts w:hint="default" w:ascii="Times New Roman" w:hAnsi="Times New Roman" w:eastAsia="仿宋" w:cs="Times New Roman"/>
          <w:b w:val="0"/>
          <w:bCs w:val="0"/>
          <w:color w:val="auto"/>
          <w:sz w:val="32"/>
          <w:szCs w:val="32"/>
          <w:highlight w:val="none"/>
          <w:u w:val="none"/>
          <w:lang w:eastAsia="zh-CN"/>
        </w:rPr>
        <w:t>1、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u w:val="none"/>
          <w:lang w:eastAsia="zh-CN"/>
        </w:rPr>
      </w:pPr>
      <w:r>
        <w:rPr>
          <w:rFonts w:hint="default" w:ascii="Times New Roman" w:hAnsi="Times New Roman" w:eastAsia="仿宋" w:cs="Times New Roman"/>
          <w:b w:val="0"/>
          <w:bCs w:val="0"/>
          <w:color w:val="auto"/>
          <w:sz w:val="32"/>
          <w:szCs w:val="32"/>
          <w:highlight w:val="none"/>
          <w:u w:val="none"/>
          <w:lang w:val="en-US" w:eastAsia="zh-CN"/>
        </w:rPr>
        <w:t>2、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1、惠州市非税收入缴款通知；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2、竞买保证金到账通知书；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3、竞价结果通知书；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（十三）本《竞买须知》的最终解释权归交易中心所有。未尽事宜依照《招标拍卖挂牌出让国有土地使用权规范》办理。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0F37733"/>
    <w:rsid w:val="046161A6"/>
    <w:rsid w:val="06DC0CFD"/>
    <w:rsid w:val="0F88549D"/>
    <w:rsid w:val="13F64E65"/>
    <w:rsid w:val="16A71418"/>
    <w:rsid w:val="1AF9192D"/>
    <w:rsid w:val="1CCB74AC"/>
    <w:rsid w:val="23607014"/>
    <w:rsid w:val="244A5795"/>
    <w:rsid w:val="26C93D5C"/>
    <w:rsid w:val="2AEE0420"/>
    <w:rsid w:val="2C5D301B"/>
    <w:rsid w:val="3EAA7B78"/>
    <w:rsid w:val="4CD82CA3"/>
    <w:rsid w:val="59FD5427"/>
    <w:rsid w:val="699C5CE0"/>
    <w:rsid w:val="6AC31CEA"/>
    <w:rsid w:val="6AE25807"/>
    <w:rsid w:val="6E090A6F"/>
    <w:rsid w:val="717C1C3E"/>
    <w:rsid w:val="71AB432A"/>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Administrator</cp:lastModifiedBy>
  <dcterms:modified xsi:type="dcterms:W3CDTF">2024-11-29T01:27:24Z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30A9035C090F47B7A3A298BD203B095D</vt:lpwstr>
  </property>
</Properties>
</file>