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44"/>
          <w:szCs w:val="44"/>
        </w:rPr>
      </w:pPr>
      <w:r>
        <w:rPr>
          <w:rFonts w:hint="eastAsia" w:ascii="仿宋_GB2312" w:hAnsi="仿宋_GB2312" w:eastAsia="仿宋_GB2312" w:cs="仿宋_GB2312"/>
          <w:color w:val="auto"/>
          <w:sz w:val="44"/>
          <w:szCs w:val="44"/>
        </w:rPr>
        <w:t>惠州市国有建设用地使用权网上挂牌</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44"/>
          <w:szCs w:val="44"/>
        </w:rPr>
      </w:pPr>
      <w:r>
        <w:rPr>
          <w:rFonts w:hint="eastAsia" w:ascii="仿宋_GB2312" w:hAnsi="仿宋_GB2312" w:eastAsia="仿宋_GB2312" w:cs="仿宋_GB2312"/>
          <w:color w:val="auto"/>
          <w:sz w:val="44"/>
          <w:szCs w:val="44"/>
        </w:rPr>
        <w:t>出让竞买须知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惠公易土市直[</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015</w:t>
      </w:r>
      <w:r>
        <w:rPr>
          <w:rFonts w:hint="eastAsia" w:ascii="仿宋_GB2312" w:hAnsi="仿宋_GB2312" w:eastAsia="仿宋_GB2312" w:cs="仿宋_GB2312"/>
          <w:color w:val="auto"/>
          <w:sz w:val="32"/>
          <w:szCs w:val="32"/>
        </w:rPr>
        <w:t>号</w:t>
      </w:r>
    </w:p>
    <w:p>
      <w:pPr>
        <w:ind w:firstLine="640" w:firstLineChars="200"/>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惠州市国有建设用地使用权网上挂牌出让竞买须知》（以下简称“竞买须知”）是具备法律约束力的重要文件，竞买人须详细阅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三、中华人民共和国境内外的法人和其他组织（除法律法规另有规定外），符合竞买资格的，均可通过电子交易系统，申请参加电子挂牌交易活动。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惠州市市本级国有建设用地使用权网上挂牌出让公告（以下简称“挂牌出让公告”）对竞买资格有特别要求的，以挂牌出让公告为准。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惠州市公共资源交易中心（以下简称“交易中心”）咨询。有意竞买者可自行踏勘现场（可在电子交易系统查阅位置图和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有关宗地的电子挂牌出让公告等相关信息通过交易大厅的电子显示屏、中国土地市场网、广东省公共资源交易平台和电子交易系统等媒介同步发布。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有意竞买者可登录电子交易系统网站(https://tdky.hzggzyjy.cn/)查询。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申请人可在电子交易系统浏览和下载本宗地网上挂牌出让文件，具体包括：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1、惠州市市本级国有建设用地使用权网上挂牌出让公告；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2、惠州市国有建设用地使用权网上挂牌出让竞买须知；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3、挂牌出让地块现状图；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4、建设用地红线界限图；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建设用地</w:t>
      </w:r>
      <w:r>
        <w:rPr>
          <w:rFonts w:hint="eastAsia" w:ascii="仿宋_GB2312" w:hAnsi="仿宋_GB2312" w:eastAsia="仿宋_GB2312" w:cs="仿宋_GB2312"/>
          <w:color w:val="auto"/>
          <w:sz w:val="32"/>
          <w:szCs w:val="32"/>
        </w:rPr>
        <w:t>规划设计条件；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6、国有建设用地使用权网上挂牌成交确认书（样本）；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7、国有建设用地使用权出让合同（样本）；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8、其他相关文件。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1、本宗国有建设用地使用权网上挂牌出让只能在互联网上，通过电子交易系统进行。只有通过网上注册、办理数字证书、按要求足额交付竞买保证金的申请人，才能参加网上挂牌交易活动。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数字证书的办理流程详见电子交易系统上的《数字证书办理指南》。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各宗国有建设用地使用权对应的竞买保证金。竞买保证金交纳截止时间以挂牌出让公告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2、竞买人应当提前交纳竞买保证金，以确保竞买保证金在到账截止时间前到账，超过到账截止时间到账的竞买保证金，电子交易系统将不予受理，造成的损失由竞买人自行承担。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4、竞买保证金到账时间以电子交易系统确认并发出《竞买保证金到账通知书》为准。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竞买保证金账号：电子交易系统随机产生竞买保证金支付账号。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（1）中国建设银行惠州广场支行；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（2）中国银行惠州分行；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（3）中国工商银行股份有限公司惠州富力国际中心支行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（4）中国农业银行惠州分行；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（5）广发银行惠州江北支行；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（6）交通银行惠州分行；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（7）惠州市农村商业银行股份有限公司惠城支行；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（8）上海浦东发展银行股份有限公司惠州分行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（9）中国民生银行股份有限公司惠州分行；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(10）中信银行股份有限公司惠州分行。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6、申请人应根据电子交易系统生成的随机保证金账号按时足额交纳竞买保证金，在电子交易系统确认竞买保证金按时足额到账之后，竞买人将被赋予对应宗地的竞买报价权限。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1、竞买人通过电子交易系统进行报价。电子报价和电子限时竞价按以下规则进行：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2、竞买人应当谨慎报价，报价一经提交并经电子交易系统确认为有效报价，不可撤回。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限时竞价是指在挂牌出让公告规定的电子挂牌交易期限截止时，有2个以上的竞买人报价，且经电子交易系统询问，5分钟内限时决定是否愿意继续报价,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1、在电子挂牌交易期限内只有1个竞买人报价，且报价不低于起始价的，则该报价者为成交候选人；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2、电子挂牌交易期限内有2个以上的竞买人报价，经电子交易系统询问，无竞买人愿意参加电子限时竞价的，以当前报价最高且报价不低于起始价者为成交候选人；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3、电子挂牌交易期限内无报价的，挂牌不成交；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5、进入电子限时竞价，但电子限时竞价中无竞买人报价的，以电子挂牌交易截止时报价最高且报价不低于起始价者为成交候选人。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本宗国有建设用地使用权网上挂牌出让实行竞买资格后置审查。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电子交易系统发布。成交候选人应当在电子挂牌竞价结果公布后，按挂牌出让公告及竞买须知的要求将相关资料提交至委托人，由委托人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委托人确定竞得人后，由交易中心通过电子交易系统发布交易结果。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确定竞得人后，竞得人按挂牌出让公告规定的时间与委托人、交易中心签订《国有建设用地使用权网上挂牌成交确认书》（以下简称“成交确认书”），竞得人根据成交确认书约定的时间与委托人签订交易合同。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电子交易系统竞买人操作视频可在交易中心电子交易系统下载。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竞买人对有关承诺承担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竞得人可先与出让人签订《国有建设用地使用权出让合同》，在竞得人按约定办理完新公司注册登记手续后，出让人再与新公司签订《国有建设用地使用权出让合同变更协议》；出让人也可按约定直接与新公司签订《国有建设用地使用权出让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val="en-US" w:eastAsia="zh-CN"/>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竞得人可先与出让人签订《国有建设用地使用权出让合同》，在竞得人按约定办理完新公司注册登记手续后，出让人再与新公司签订《国有建设用地使用权出让合同变更协议》；出让人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（四）《竞价结果通知书》对委托人和成交候选人具有法律效力，委托人改变网上挂牌结果的，或者成交候选人放弃竞得宗地的，应当承担相应法律责任。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竞得人应按挂牌出让公告规定的时间与交易中心、委托人签订成交确认书，根据成交确认书约定的时间与委托人签订出让合同，并按合同约定支付成交价款。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易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未竞得人应于电子挂牌交易活动结束之日起5个工作日内带齐相关资料（《竞价结果通知书》、《竞买保证金到账通知书》、保证金转账凭证等）到交易中心退还保证金，退还的保证金不计利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委托</w:t>
      </w:r>
      <w:r>
        <w:rPr>
          <w:rFonts w:hint="eastAsia" w:ascii="仿宋_GB2312" w:hAnsi="仿宋_GB2312" w:eastAsia="仿宋_GB2312" w:cs="仿宋_GB2312"/>
          <w:color w:val="auto"/>
          <w:sz w:val="32"/>
          <w:szCs w:val="32"/>
          <w:highlight w:val="none"/>
          <w:lang w:eastAsia="zh-CN"/>
        </w:rPr>
        <w:t>人</w:t>
      </w:r>
      <w:r>
        <w:rPr>
          <w:rFonts w:hint="eastAsia" w:ascii="仿宋_GB2312" w:hAnsi="仿宋_GB2312" w:eastAsia="仿宋_GB2312" w:cs="仿宋_GB2312"/>
          <w:color w:val="auto"/>
          <w:sz w:val="32"/>
          <w:szCs w:val="32"/>
          <w:highlight w:val="none"/>
        </w:rPr>
        <w:t>开具的成交价款缴款单；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2、惠州市非税收入缴款通知；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银行端查询缴税凭证；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竞买</w:t>
      </w:r>
      <w:r>
        <w:rPr>
          <w:rFonts w:hint="eastAsia" w:ascii="仿宋_GB2312" w:hAnsi="仿宋_GB2312" w:eastAsia="仿宋_GB2312" w:cs="仿宋_GB2312"/>
          <w:color w:val="auto"/>
          <w:sz w:val="32"/>
          <w:szCs w:val="32"/>
          <w:highlight w:val="none"/>
        </w:rPr>
        <w:t>保证金到账通知书；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竞价</w:t>
      </w:r>
      <w:r>
        <w:rPr>
          <w:rFonts w:hint="eastAsia" w:ascii="仿宋_GB2312" w:hAnsi="仿宋_GB2312" w:eastAsia="仿宋_GB2312" w:cs="仿宋_GB2312"/>
          <w:color w:val="auto"/>
          <w:sz w:val="32"/>
          <w:szCs w:val="32"/>
          <w:highlight w:val="none"/>
        </w:rPr>
        <w:t>结果通知书；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、保证金转账凭证。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电子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交易中心需暂停、中止或终止交易活动，并及时将相关情况报政府有关行政主管部门处理，在公共资源交易平台网上予以公告。委托人待问题排查、清除后，依法重新组织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（九）竞得人与委托人签订出让合同后，应当按出让合同约定支付网上挂牌成交价款。竞得人付清全部成交价款后，依法申请办理土地登记，领取《不动产权证书》。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（十）网上挂牌不成交的，由委托人重新组织挂牌出让。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（十一）挂牌出让公告、竞买须知及相关交易文件需要修改、补充时，将通过原挂牌出让公告发布渠道公告，不作另行通知。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应当及时关注该宗地的网上挂牌交易信息。交易中心发出的修改、补充公告，与挂牌出让公告、竞买须知及相关交易文件具有同等效力。若与挂牌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（十二）本须知及挂牌出让公告涉及的时间期限，以电子交易系统服务器的时间为准。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（十三）本《竞买须知》的最终解释权归交易中心所有。未尽事宜依照《招标拍卖挂牌出让国有土地使用权规范</w:t>
      </w:r>
      <w:r>
        <w:rPr>
          <w:rFonts w:hint="eastAsia" w:ascii="仿宋_GB2312" w:hAnsi="仿宋_GB2312" w:eastAsia="仿宋_GB2312" w:cs="仿宋_GB2312"/>
          <w:color w:val="auto"/>
          <w:sz w:val="32"/>
          <w:szCs w:val="32"/>
          <w:lang w:eastAsia="zh-CN"/>
        </w:rPr>
        <w:t>（试行）</w:t>
      </w:r>
      <w:r>
        <w:rPr>
          <w:rFonts w:hint="eastAsia" w:ascii="仿宋_GB2312" w:hAnsi="仿宋_GB2312" w:eastAsia="仿宋_GB2312" w:cs="仿宋_GB2312"/>
          <w:color w:val="auto"/>
          <w:sz w:val="32"/>
          <w:szCs w:val="32"/>
        </w:rPr>
        <w:t>》办理。</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2024年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15</w:t>
      </w:r>
      <w:bookmarkStart w:id="0" w:name="_GoBack"/>
      <w:bookmarkEnd w:id="0"/>
      <w:r>
        <w:rPr>
          <w:rFonts w:hint="eastAsia" w:ascii="仿宋_GB2312" w:hAnsi="仿宋_GB2312" w:eastAsia="仿宋_GB2312" w:cs="仿宋_GB2312"/>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C5CE0"/>
    <w:rsid w:val="06594FBB"/>
    <w:rsid w:val="13F64E65"/>
    <w:rsid w:val="16A71418"/>
    <w:rsid w:val="1CCB74AC"/>
    <w:rsid w:val="2106242D"/>
    <w:rsid w:val="26C93D5C"/>
    <w:rsid w:val="2AEE0420"/>
    <w:rsid w:val="2C5D301B"/>
    <w:rsid w:val="36BB58C2"/>
    <w:rsid w:val="3A2F5F21"/>
    <w:rsid w:val="4BEB5C94"/>
    <w:rsid w:val="699C5CE0"/>
    <w:rsid w:val="6AE25807"/>
    <w:rsid w:val="71AB432A"/>
    <w:rsid w:val="74F66FDF"/>
    <w:rsid w:val="7B5165B6"/>
    <w:rsid w:val="7F216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叶舒</dc:creator>
  <cp:lastModifiedBy>叶舒</cp:lastModifiedBy>
  <dcterms:modified xsi:type="dcterms:W3CDTF">2024-10-15T02:19:45Z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30A9035C090F47B7A3A298BD203B095D</vt:lpwstr>
  </property>
</Properties>
</file>