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800" w:lineRule="exact"/>
        <w:ind w:left="0" w:right="0"/>
        <w:jc w:val="center"/>
        <w:textAlignment w:val="auto"/>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惠州市国有建设用地使用权网上挂牌出让竞买须知</w:t>
      </w:r>
    </w:p>
    <w:p>
      <w:pPr>
        <w:pStyle w:val="5"/>
        <w:keepNext w:val="0"/>
        <w:keepLines w:val="0"/>
        <w:widowControl/>
        <w:suppressLineNumbers w:val="0"/>
        <w:spacing w:before="75" w:beforeAutospacing="0" w:after="75" w:afterAutospacing="0" w:line="705" w:lineRule="atLeast"/>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惠公易土市直[2025]0</w:t>
      </w:r>
      <w:r>
        <w:rPr>
          <w:rFonts w:hint="eastAsia" w:ascii="Times New Roman" w:hAnsi="Times New Roman" w:eastAsia="仿宋" w:cs="Times New Roman"/>
          <w:sz w:val="32"/>
          <w:szCs w:val="32"/>
          <w:lang w:val="en-US" w:eastAsia="zh-CN"/>
        </w:rPr>
        <w:t>17</w:t>
      </w:r>
      <w:r>
        <w:rPr>
          <w:rFonts w:hint="default" w:ascii="Times New Roman" w:hAnsi="Times New Roman" w:eastAsia="仿宋" w:cs="Times New Roman"/>
          <w:sz w:val="32"/>
          <w:szCs w:val="32"/>
        </w:rPr>
        <w:t>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二、本宗国有建设用地使用权网上挂牌出让遵循公开、公平、公正和诚实信用原则。</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三、中华人民共和国境内外的法人和其他组织（除法律法规另有规定外），符合竞买资格的，均可通过电子交易系统，申请参加电子挂牌交易活动。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国有建设用地使用权网上挂牌出让公告（以下简称“挂牌出让公告”）对竞买资格有特别要求的，以挂牌出让公告为准。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四、申请人对网上挂牌出让文件有疑问的，可在网上挂牌活动开始前以书面或者口头方式向惠州市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自然</w:t>
      </w:r>
      <w:r>
        <w:rPr>
          <w:rFonts w:hint="eastAsia" w:ascii="Times New Roman" w:hAnsi="Times New Roman" w:eastAsia="仿宋" w:cs="Times New Roman"/>
          <w:sz w:val="32"/>
          <w:szCs w:val="32"/>
          <w:lang w:val="en-US" w:eastAsia="zh-CN"/>
        </w:rPr>
        <w:t>资</w:t>
      </w:r>
      <w:r>
        <w:rPr>
          <w:rFonts w:hint="default" w:ascii="Times New Roman" w:hAnsi="Times New Roman" w:eastAsia="仿宋" w:cs="Times New Roman"/>
          <w:sz w:val="32"/>
          <w:szCs w:val="32"/>
        </w:rPr>
        <w:t>源局咨询。有意竞买者可自行踏勘现场（可在电子交易系统查阅位置图和现状图）。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五、网上挂牌交易程序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（一）发布网上挂牌信息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有关宗地的电子挂牌出让公告等相关信息通过交易大厅的电子显示屏、中国土地市场网、广东省公共资源交易平台和电子交易系统等媒介同步发布。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有意竞买者可登录电子交易系统网站(https://tdky.hzggzyjy.cn/)查询。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（二）挂牌文件获取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申请人可在电子交易系统浏览和下载本宗地网上挂牌出让文件，具体包括：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国有建设用地使用权网上挂牌出让公告；</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2、惠州市国有建设用地使用权网上挂牌出让竞买须知；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3、挂牌出让地块现状图；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4、建设用地红线界限图；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5、建设用地规划设计条件；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6、国有建设用地使用权网上挂牌成交确认书（样本）；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7、国有建设用地使用权出让合同（样本）；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8、其他相关文件。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（三）办理数字证书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1、本宗国有建设用地使用权网上挂牌出让只能在互联网上，通过电子交易系统进行。只有通过网上注册、办理数字证书、按要求足额交付竞买保证金的申请人，才能参加网上挂牌交易活动。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数字证书的办理流程详见电子交易系统上的《数字证书办理指南》。</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（四）申请竞买</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（五）交纳竞买保证金并获得竞买报价权限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1、竞买保证金是申请人参加网上挂牌交易活动的资格条件。按规定将竞买保证金汇入指定账户，是参加网上挂牌交易活动的必经程序。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2、竞买人应当提前交纳竞买保证金，以确保竞买保证金在到账截止时间前到账，超过到账截止时间到账的竞买保证金，电子交易系统将不予受理，造成的损失由竞买人自行承担。</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3、跨地区或跨行转账的竞买人，需预足资金的在途时间，以免影响竞买人及时取得竞买报价权限。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4、竞买保证金到账时间以电子交易系统确认并发出《竞买保证金到账通知书》为准。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5、竞买保证金开户单位：惠州市公共资源交易中心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竞买保证金账号：电子交易系统随机产生竞买保证金支付账号。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开户银行：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（1）中国建设银行惠州广场支行；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（2）中国银行惠州分行；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（3）中国工商银行股份有限公司惠州富力国际中心支行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（4）中国农业银行惠州分行；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（5）广发银行惠州江北支行；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（6）交通银行惠州分行；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（7）惠州市农村商业银行股份有限公司惠城支行；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（8）上海浦东发展银行股份有限公司惠州分行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（9）中国民生银行股份有限公司惠州分行；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(10）中信银行股份有限公司惠州分行。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6、申请人应根据电子交易系统生成的随机保证金账号按时足额交纳竞买保证金，在电子交易系统确认竞买保证金按时足额到账之后，竞买人将被赋予对应宗地的竞买报价权限。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（六）竞买人电子报价及电子限时竞价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1、竞买人通过电子交易系统进行报价。电子报价和电子限时竞价按以下规则进行：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（1）增价方式进行报价；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（2）竞买人可多次报价；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（3）初次报价不得低于起始价；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（4）每次增价数额应是规定的增价幅度的整数倍；</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（5）每次报价应当比当前最高报价至少递增1个增价幅度。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2、竞买人应当谨慎报价，报价一经提交并经电子交易系统确认为有效报价，不可撤回。</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电子挂牌交易期限截止前，竞买人应当进行至少一次有效报价，方有资格参加</w:t>
      </w:r>
      <w:r>
        <w:rPr>
          <w:rFonts w:hint="eastAsia" w:ascii="Times New Roman" w:hAnsi="Times New Roman" w:eastAsia="仿宋" w:cs="Times New Roman"/>
          <w:sz w:val="32"/>
          <w:szCs w:val="32"/>
          <w:lang w:eastAsia="zh-CN"/>
        </w:rPr>
        <w:t>交易</w:t>
      </w:r>
      <w:r>
        <w:rPr>
          <w:rFonts w:hint="default" w:ascii="Times New Roman" w:hAnsi="Times New Roman" w:eastAsia="仿宋" w:cs="Times New Roman"/>
          <w:sz w:val="32"/>
          <w:szCs w:val="32"/>
        </w:rPr>
        <w:t>宗地的电子限时竞价。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3、电子限时竞价是指在挂牌出让公告规定的电子挂牌交易期限截止时，有2个以上的竞买人报价，且经电子交易系统询问，5分钟内限时决定是否愿意继续报价</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电子挂牌交易按照下列规则确定成交候选人：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1、在电子挂牌交易期限内只有1个竞买人报价，且报价不低于起始价的，则该报价者为成交候选人；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2、电子挂牌交易期限内有2个以上的竞买人报价，经电子交易系统询问，无竞买人愿意参加电子限时竞价的，以当前报价最高且报价不低于起始价者为成交候选人；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3、电子挂牌交易期限内无报价的，挂牌不成交；</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4、进入电子限时竞价，电子限时竞价中报价最高且报价不低于起始价者为成交候选人；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5、进入电子限时竞价，但电子限时竞价中无竞买人报价的，以电子挂牌交易截止时报价最高且报价不低于起始价者为成交候选人。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（九）公布交易结果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委托人确定竞得人后，由交易中心通过电子交易系统发布交易结果。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（十）签订成交确认书和交易合同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六、系统操作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电子交易系统竞买人操作视频可在交易中心电子交易系统下载。</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七、注意事项</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竞买人须详细阅读挂牌出让公告、竞买须知及《惠州市公共资源电子交易规则》，竞买申请一经受理确认后，即视为竞买人对挂牌出让公告、竞买须知、相关交易文件及地块现状无异议并全部接受，竞买人对有关承诺承担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单独申请竞买的，竞买申请人为非本市注册登记的企业，在竞得土地后，必须于 2 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lang w:val="en-US" w:eastAsia="zh-CN"/>
        </w:rPr>
      </w:pPr>
      <w:bookmarkStart w:id="0" w:name="_GoBack"/>
      <w:bookmarkEnd w:id="0"/>
      <w:r>
        <w:rPr>
          <w:rFonts w:hint="default" w:ascii="Times New Roman" w:hAnsi="Times New Roman" w:eastAsia="仿宋" w:cs="Times New Roman"/>
          <w:sz w:val="32"/>
          <w:szCs w:val="32"/>
          <w:lang w:val="en-US" w:eastAsia="zh-CN"/>
        </w:rPr>
        <w:t>联合申请竞买的，联合竞买人在提交竞买申请材料时，须提交联合竞买申请书和协议，协议主要约定联合各方的权利和义务、参与竞买的代表人、联合各方的出资比例等。联合竞买申请人竞得土地后须于 2 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（四）《竞价结果通知书》对委托人和成交候选人具有法律效力，委托人改变网上挂牌结果的，或者成交候选人放弃竞得宗地的，应当承担相应法律责任。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竞得人应按挂牌出让公告规定的时间与交易中心、委托人签订成交确认书，根据成交确认书约定的时间与委托人签订出让合同，并按合同约定支付成交价款。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竞得人交纳的竞买保证金转付成交价款，办理转付成交价款手续应带齐如下相关资料：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rPr>
        <w:t>1、</w:t>
      </w:r>
      <w:r>
        <w:rPr>
          <w:rFonts w:hint="eastAsia" w:ascii="Times New Roman" w:hAnsi="Times New Roman" w:eastAsia="仿宋" w:cs="Times New Roman"/>
          <w:sz w:val="32"/>
          <w:szCs w:val="32"/>
          <w:shd w:val="clear" w:fill="FFFFFF"/>
          <w:lang w:eastAsia="zh-CN"/>
        </w:rPr>
        <w:t>惠州市非税收入缴款通知</w:t>
      </w:r>
      <w:r>
        <w:rPr>
          <w:rFonts w:hint="default" w:ascii="Times New Roman" w:hAnsi="Times New Roman" w:eastAsia="仿宋" w:cs="Times New Roman"/>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eastAsia" w:ascii="Times New Roman" w:hAnsi="Times New Roman" w:eastAsia="仿宋" w:cs="Times New Roman"/>
          <w:sz w:val="32"/>
          <w:szCs w:val="32"/>
          <w:shd w:val="clear" w:fill="FFFFFF"/>
          <w:lang w:val="en-US" w:eastAsia="zh-CN"/>
        </w:rPr>
        <w:t>2</w:t>
      </w:r>
      <w:r>
        <w:rPr>
          <w:rFonts w:hint="default" w:ascii="Times New Roman" w:hAnsi="Times New Roman" w:eastAsia="仿宋" w:cs="Times New Roman"/>
          <w:sz w:val="32"/>
          <w:szCs w:val="32"/>
          <w:shd w:val="clear" w:fill="FFFFFF"/>
        </w:rPr>
        <w:t>、竞买保证金到账通知书；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shd w:val="clear" w:fill="FFFFFF"/>
        </w:rPr>
      </w:pPr>
      <w:r>
        <w:rPr>
          <w:rFonts w:hint="eastAsia" w:ascii="Times New Roman" w:hAnsi="Times New Roman" w:eastAsia="仿宋" w:cs="Times New Roman"/>
          <w:sz w:val="32"/>
          <w:szCs w:val="32"/>
          <w:shd w:val="clear" w:fill="FFFFFF"/>
          <w:lang w:val="en-US" w:eastAsia="zh-CN"/>
        </w:rPr>
        <w:t>3</w:t>
      </w:r>
      <w:r>
        <w:rPr>
          <w:rFonts w:hint="default" w:ascii="Times New Roman" w:hAnsi="Times New Roman" w:eastAsia="仿宋" w:cs="Times New Roman"/>
          <w:sz w:val="32"/>
          <w:szCs w:val="32"/>
          <w:shd w:val="clear" w:fill="FFFFFF"/>
        </w:rPr>
        <w:t>、竞价结果通知书；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_GB2312" w:cs="Times New Roman"/>
          <w:b w:val="0"/>
          <w:bCs w:val="0"/>
          <w:color w:val="auto"/>
          <w:sz w:val="32"/>
          <w:szCs w:val="32"/>
          <w:highlight w:val="none"/>
        </w:rPr>
      </w:pPr>
      <w:r>
        <w:rPr>
          <w:rFonts w:hint="eastAsia" w:ascii="Times New Roman" w:hAnsi="Times New Roman" w:eastAsia="仿宋" w:cs="Times New Roman"/>
          <w:sz w:val="32"/>
          <w:szCs w:val="32"/>
          <w:shd w:val="clear" w:fill="FFFFFF"/>
          <w:lang w:val="en-US" w:eastAsia="zh-CN"/>
        </w:rPr>
        <w:t>4</w:t>
      </w:r>
      <w:r>
        <w:rPr>
          <w:rFonts w:hint="default" w:ascii="Times New Roman" w:hAnsi="Times New Roman" w:eastAsia="仿宋" w:cs="Times New Roman"/>
          <w:sz w:val="32"/>
          <w:szCs w:val="32"/>
          <w:shd w:val="clear" w:fill="FFFFFF"/>
        </w:rPr>
        <w:t>、保证金转账凭证</w:t>
      </w:r>
      <w:r>
        <w:rPr>
          <w:rFonts w:hint="default" w:ascii="Times New Roman" w:hAnsi="Times New Roman" w:eastAsia="仿宋_GB2312" w:cs="Times New Roman"/>
          <w:b w:val="0"/>
          <w:bCs w:val="0"/>
          <w:color w:val="auto"/>
          <w:sz w:val="32"/>
          <w:szCs w:val="32"/>
          <w:highlight w:val="no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shd w:val="clear" w:fill="FFFFFF"/>
          <w:lang w:val="en-US" w:eastAsia="zh-CN"/>
        </w:rPr>
      </w:pPr>
      <w:r>
        <w:rPr>
          <w:rFonts w:hint="eastAsia" w:ascii="Times New Roman" w:hAnsi="Times New Roman" w:eastAsia="仿宋" w:cs="Times New Roman"/>
          <w:sz w:val="32"/>
          <w:szCs w:val="32"/>
          <w:shd w:val="clear" w:fill="FFFFFF"/>
          <w:lang w:val="en-US" w:eastAsia="zh-CN"/>
        </w:rPr>
        <w:t>5、</w:t>
      </w:r>
      <w:r>
        <w:rPr>
          <w:rFonts w:hint="default" w:ascii="Times New Roman" w:hAnsi="Times New Roman" w:eastAsia="仿宋" w:cs="Times New Roman"/>
          <w:sz w:val="32"/>
          <w:szCs w:val="32"/>
          <w:shd w:val="clear" w:fill="FFFFFF"/>
          <w:lang w:val="en-US" w:eastAsia="zh-CN"/>
        </w:rPr>
        <w:t>竞价结果通知书；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shd w:val="clear" w:fill="FFFFFF"/>
          <w:lang w:val="en-US" w:eastAsia="zh-CN"/>
        </w:rPr>
      </w:pPr>
      <w:r>
        <w:rPr>
          <w:rFonts w:hint="eastAsia" w:ascii="Times New Roman" w:hAnsi="Times New Roman" w:eastAsia="仿宋" w:cs="Times New Roman"/>
          <w:sz w:val="32"/>
          <w:szCs w:val="32"/>
          <w:shd w:val="clear" w:fill="FFFFFF"/>
          <w:lang w:val="en-US" w:eastAsia="zh-CN"/>
        </w:rPr>
        <w:t>6、</w:t>
      </w:r>
      <w:r>
        <w:rPr>
          <w:rFonts w:hint="default" w:ascii="Times New Roman" w:hAnsi="Times New Roman" w:eastAsia="仿宋" w:cs="Times New Roman"/>
          <w:sz w:val="32"/>
          <w:szCs w:val="32"/>
          <w:shd w:val="clear" w:fill="FFFFFF"/>
          <w:lang w:val="en-US" w:eastAsia="zh-CN"/>
        </w:rPr>
        <w:t>保证金转账凭证。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1、电子交易系统受到黑客、病毒恶意攻击的；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2、公共资源交易平台因停电、电子交易系统故障、网络故障、交易软件或数据库错误等因素影响到交易活动不能正常进行的；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3、电子交易系统发现有安全漏洞，有潜在泄密危险，无法保证电子交易信息安全和公平公正交易的；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4、政府有关行政主管部门及司法机关依法要求暂停、中止或终止交易的；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5、委托人书面通知交易中心要求暂停、中止或终止交易的；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6、依法应当暂停、中止或终止交易的其他情形。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（八）网上挂牌成交价即为该宗地的出让总地价款，竞得人除支付成交价款外，还需支付契税、印花税等有关费用。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（九）竞得人与委托人签订出让合同后，应当按出让合同约定支付网上挂牌成交价款。竞得人付清全部成交价款后，依法申请办理土地登记，领取《不动产权证书》。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（十）网上挂牌不成交的，由委托人重新组织挂牌出让。</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（十一）挂牌出让公告、竞买须知及相关交易文件需要修改、补充时，将通过原挂牌出让公告发布渠道公告，不作另行通知。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（十二）本须知及挂牌出让公告涉及的时间期限，以电子交易系统服务器的时间为准。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（十三）本《竞买须知》的最终解释权归交易中心所有。未尽事宜依照《招标拍卖挂牌出让国有土地使用权规范》办理。</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惠州市公共资源交易中心</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2025年</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19</w:t>
      </w:r>
      <w:r>
        <w:rPr>
          <w:rFonts w:hint="default" w:ascii="Times New Roman" w:hAnsi="Times New Roman" w:eastAsia="仿宋" w:cs="Times New Roman"/>
          <w:sz w:val="32"/>
          <w:szCs w:val="32"/>
        </w:rPr>
        <w:t>日</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color w:val="auto"/>
          <w:sz w:val="32"/>
          <w:szCs w:val="32"/>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24E3590"/>
    <w:rsid w:val="03905CF8"/>
    <w:rsid w:val="04622C4A"/>
    <w:rsid w:val="06594FBB"/>
    <w:rsid w:val="0A3515BF"/>
    <w:rsid w:val="0CB544B0"/>
    <w:rsid w:val="123A4835"/>
    <w:rsid w:val="13F64E65"/>
    <w:rsid w:val="154D7E92"/>
    <w:rsid w:val="16A71418"/>
    <w:rsid w:val="1AC62B22"/>
    <w:rsid w:val="1CCB74AC"/>
    <w:rsid w:val="1D526FDB"/>
    <w:rsid w:val="1E771830"/>
    <w:rsid w:val="2106242D"/>
    <w:rsid w:val="26C93D5C"/>
    <w:rsid w:val="27815E86"/>
    <w:rsid w:val="29265862"/>
    <w:rsid w:val="2AEE0420"/>
    <w:rsid w:val="2C5D301B"/>
    <w:rsid w:val="2E834821"/>
    <w:rsid w:val="2EEB2828"/>
    <w:rsid w:val="3319506B"/>
    <w:rsid w:val="35E2234D"/>
    <w:rsid w:val="36BB58C2"/>
    <w:rsid w:val="3A2F5F21"/>
    <w:rsid w:val="49C30460"/>
    <w:rsid w:val="4BEB5C94"/>
    <w:rsid w:val="4EA90876"/>
    <w:rsid w:val="50C12FDB"/>
    <w:rsid w:val="55083DFC"/>
    <w:rsid w:val="5749741B"/>
    <w:rsid w:val="635546A8"/>
    <w:rsid w:val="664F245B"/>
    <w:rsid w:val="699C5CE0"/>
    <w:rsid w:val="6AE25807"/>
    <w:rsid w:val="70704C32"/>
    <w:rsid w:val="717528BB"/>
    <w:rsid w:val="71AB432A"/>
    <w:rsid w:val="73C66915"/>
    <w:rsid w:val="74F66FDF"/>
    <w:rsid w:val="757731E0"/>
    <w:rsid w:val="758D3297"/>
    <w:rsid w:val="79D51DC8"/>
    <w:rsid w:val="7A2A3540"/>
    <w:rsid w:val="7AA75EBD"/>
    <w:rsid w:val="7B5165B6"/>
    <w:rsid w:val="7BA42F32"/>
    <w:rsid w:val="7E5073C7"/>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Administrator</cp:lastModifiedBy>
  <cp:lastPrinted>2025-04-06T08:14:00Z</cp:lastPrinted>
  <dcterms:modified xsi:type="dcterms:W3CDTF">2025-05-19T09:51:08Z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757A8A92009343DDBE3D5094D408497A</vt:lpwstr>
  </property>
</Properties>
</file>