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惠公易土市直[2025]009号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惠州市惠城区国有建设用地使用权网上挂牌出让公告（以下简称“挂牌出让公告”）对竞买资格有特别要求的，以挂牌出让公告为准。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四、申请人对网上挂牌出让文件有疑问的，可在网上挂牌活动开始前以书面或者口头方式向惠州市惠城区自然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1、惠州市惠城区国有建设用地使用权网上挂牌出让公告；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5、规划设计条件告知书；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电子挂牌交易期限截止前，竞买人应当进行至少一次有效报价，方有资格参加该宗地的电子限时竞价。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bdr w:val="none" w:color="auto" w:sz="0" w:space="0"/>
          <w:shd w:val="clear" w:fill="FFFFFF"/>
        </w:rPr>
        <w:t>1、我局开具的成交价款缴款单；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bdr w:val="none" w:color="auto" w:sz="0" w:space="0"/>
          <w:shd w:val="clear" w:fill="FFFFFF"/>
        </w:rPr>
        <w:t>2、银行端查询缴税凭证；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bdr w:val="none" w:color="auto" w:sz="0" w:space="0"/>
          <w:shd w:val="clear" w:fill="FFFFFF"/>
        </w:rPr>
        <w:t>3、惠州市非税收入缴款通知；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bdr w:val="none" w:color="auto" w:sz="0" w:space="0"/>
          <w:shd w:val="clear" w:fill="FFFFFF"/>
        </w:rPr>
        <w:t>4、竞买保证金到账通知书；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bdr w:val="none" w:color="auto" w:sz="0" w:space="0"/>
          <w:shd w:val="clear" w:fill="FFFFFF"/>
        </w:rPr>
        <w:t>5、竞价结果通知书；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bdr w:val="none" w:color="auto" w:sz="0" w:space="0"/>
          <w:shd w:val="clear" w:fill="FFFFFF"/>
        </w:rPr>
        <w:t>6、保证金转账凭证。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w:t>
      </w:r>
      <w:bookmarkStart w:id="0" w:name="_GoBack"/>
      <w:bookmarkEnd w:id="0"/>
      <w:r>
        <w:rPr>
          <w:rFonts w:hint="default" w:ascii="Times New Roman" w:hAnsi="Times New Roman" w:eastAsia="仿宋" w:cs="Times New Roman"/>
          <w:sz w:val="32"/>
          <w:szCs w:val="32"/>
        </w:rPr>
        <w:t>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2025年3月11日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123A4835"/>
    <w:rsid w:val="13F64E65"/>
    <w:rsid w:val="16A71418"/>
    <w:rsid w:val="1AC62B22"/>
    <w:rsid w:val="1CCB74AC"/>
    <w:rsid w:val="1D526FDB"/>
    <w:rsid w:val="1E771830"/>
    <w:rsid w:val="2106242D"/>
    <w:rsid w:val="26C93D5C"/>
    <w:rsid w:val="27815E86"/>
    <w:rsid w:val="29265862"/>
    <w:rsid w:val="2AEE0420"/>
    <w:rsid w:val="2C5D301B"/>
    <w:rsid w:val="2E834821"/>
    <w:rsid w:val="2EEB2828"/>
    <w:rsid w:val="36BB58C2"/>
    <w:rsid w:val="3A2F5F21"/>
    <w:rsid w:val="49C30460"/>
    <w:rsid w:val="4BEB5C94"/>
    <w:rsid w:val="55083DFC"/>
    <w:rsid w:val="5749741B"/>
    <w:rsid w:val="664F245B"/>
    <w:rsid w:val="699C5CE0"/>
    <w:rsid w:val="6AE25807"/>
    <w:rsid w:val="717528BB"/>
    <w:rsid w:val="71AB432A"/>
    <w:rsid w:val="73C66915"/>
    <w:rsid w:val="74F66FDF"/>
    <w:rsid w:val="79D51DC8"/>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2025-03-12T01:38:34Z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