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color w:val="auto"/>
          <w:sz w:val="44"/>
          <w:szCs w:val="44"/>
        </w:rPr>
      </w:pPr>
      <w:r>
        <w:rPr>
          <w:rFonts w:hint="eastAsia" w:ascii="仿宋_GB2312" w:hAnsi="仿宋_GB2312" w:eastAsia="仿宋_GB2312" w:cs="仿宋_GB2312"/>
          <w:color w:val="auto"/>
          <w:sz w:val="44"/>
          <w:szCs w:val="44"/>
        </w:rPr>
        <w:t>惠州市国有建设用地使用权网上挂牌</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color w:val="auto"/>
          <w:sz w:val="44"/>
          <w:szCs w:val="44"/>
        </w:rPr>
      </w:pPr>
      <w:r>
        <w:rPr>
          <w:rFonts w:hint="eastAsia" w:ascii="仿宋_GB2312" w:hAnsi="仿宋_GB2312" w:eastAsia="仿宋_GB2312" w:cs="仿宋_GB2312"/>
          <w:color w:val="auto"/>
          <w:sz w:val="44"/>
          <w:szCs w:val="44"/>
        </w:rPr>
        <w:t>出让竞买须知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惠公易土市直[</w:t>
      </w:r>
      <w:r>
        <w:rPr>
          <w:rFonts w:hint="eastAsia" w:ascii="仿宋_GB2312" w:hAnsi="仿宋_GB2312" w:eastAsia="仿宋_GB2312" w:cs="仿宋_GB2312"/>
          <w:color w:val="auto"/>
          <w:sz w:val="32"/>
          <w:szCs w:val="32"/>
          <w:lang w:val="en-US" w:eastAsia="zh-CN"/>
        </w:rPr>
        <w:t>2024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024</w:t>
      </w:r>
      <w:r>
        <w:rPr>
          <w:rFonts w:hint="eastAsia" w:ascii="仿宋_GB2312" w:hAnsi="仿宋_GB2312" w:eastAsia="仿宋_GB2312" w:cs="仿宋_GB2312"/>
          <w:color w:val="auto"/>
          <w:sz w:val="32"/>
          <w:szCs w:val="32"/>
        </w:rPr>
        <w:t>号</w:t>
      </w:r>
    </w:p>
    <w:p>
      <w:pPr>
        <w:ind w:firstLine="640" w:firstLineChars="200"/>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国有建设用地使用权网上挂牌出让，是指在惠州市公共资源交易平台发布挂牌出让公告和竞买须知，竞买人通过惠州市公共资源交易中心土地与矿业挂牌电子交易系统（以下简称“电子交易系统”）参与电子挂牌交易的行为。本《惠州市国有建设用地使用权网上挂牌出让竞买须知》（以下简称“竞买须知”）是具备法律约束力的重要文件，竞买人须详细阅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三、中华人民共和国境内外的法人和其他组织（除法律法规另有规定外），符合竞买资格的，均可通过电子交易系统，申请参加电子挂牌交易活动。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惠州市</w:t>
      </w:r>
      <w:r>
        <w:rPr>
          <w:rFonts w:hint="eastAsia" w:ascii="仿宋_GB2312" w:hAnsi="仿宋_GB2312" w:eastAsia="仿宋_GB2312" w:cs="仿宋_GB2312"/>
          <w:color w:val="auto"/>
          <w:sz w:val="32"/>
          <w:szCs w:val="32"/>
          <w:lang w:val="en-US" w:eastAsia="zh-CN"/>
        </w:rPr>
        <w:t>惠城区</w:t>
      </w:r>
      <w:r>
        <w:rPr>
          <w:rFonts w:hint="eastAsia" w:ascii="仿宋_GB2312" w:hAnsi="仿宋_GB2312" w:eastAsia="仿宋_GB2312" w:cs="仿宋_GB2312"/>
          <w:color w:val="auto"/>
          <w:sz w:val="32"/>
          <w:szCs w:val="32"/>
        </w:rPr>
        <w:t>国有建设用地使用权网上挂牌出让公告（以下简称“挂牌出让公告”）对竞买资格有特别要求的，以挂牌出让公告为准。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惠州市公共资源交易中心（以下简称“交易中心”）咨询。有意竞买者可自行踏勘现场（可在电子交易系统查阅位置图和现状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有关宗地的电子挂牌出让公告等相关信息通过交易大厅的电子显示屏、中国土地市场网、广东省公共资源交易平台和电子交易系统等媒介同步发布。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有意竞买者可登录电子交易系统网站(https://tdky.hzggzyjy.cn/)查询。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申请人可在电子交易系统浏览和下载本宗地网上挂牌出让文件，具体包括：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1、惠州市</w:t>
      </w:r>
      <w:r>
        <w:rPr>
          <w:rFonts w:hint="eastAsia" w:ascii="仿宋_GB2312" w:hAnsi="仿宋_GB2312" w:eastAsia="仿宋_GB2312" w:cs="仿宋_GB2312"/>
          <w:color w:val="auto"/>
          <w:sz w:val="32"/>
          <w:szCs w:val="32"/>
          <w:lang w:val="en-US" w:eastAsia="zh-CN"/>
        </w:rPr>
        <w:t>惠城区</w:t>
      </w:r>
      <w:r>
        <w:rPr>
          <w:rFonts w:hint="eastAsia" w:ascii="仿宋_GB2312" w:hAnsi="仿宋_GB2312" w:eastAsia="仿宋_GB2312" w:cs="仿宋_GB2312"/>
          <w:color w:val="auto"/>
          <w:sz w:val="32"/>
          <w:szCs w:val="32"/>
        </w:rPr>
        <w:t>国有建设用地使用权网上挂牌出让公告；</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2、惠州市国有建设用地使用权网上挂牌出让竞买须知；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3、挂牌出让地块现状图；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4、建设用地红线界限图；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建设用地</w:t>
      </w:r>
      <w:r>
        <w:rPr>
          <w:rFonts w:hint="eastAsia" w:ascii="仿宋_GB2312" w:hAnsi="仿宋_GB2312" w:eastAsia="仿宋_GB2312" w:cs="仿宋_GB2312"/>
          <w:color w:val="auto"/>
          <w:sz w:val="32"/>
          <w:szCs w:val="32"/>
        </w:rPr>
        <w:t>规划设计条件；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6、国有建设用地使用权网上挂牌成交确认书（样本）；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7、国有建设用地使用权出让合同（样本）；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8、其他相关文件。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1、本宗国有建设用地使用权网上挂牌出让只能在互联网上，通过电子交易系统进行。只有通过网上注册、办理数字证书、按要求足额交付竞买保证金的申请人，才能参加网上挂牌交易活动。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数字证书的办理流程详见电子交易系统上的《数字证书办理指南》。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电子交易系统要求填写真实有效的申请人身份等信息并在电子交易系统提交竞买申请。联合竞买的，应当按要求如实填写联合竞买各方的相关信息和出资比例。单笔竞买保证金对应一宗国有建设用地使用权竞买，如需竞买多宗国有建设用地使用权，须分别按时足额交纳各宗国有建设用地使用权对应的竞买保证金。竞买保证金交纳截止时间以挂牌出让公告时间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2、竞买人应当提前交纳竞买保证金，以确保竞买保证金在到账截止时间前到账，超过到账截止时间到账的竞买保证金，电子交易系统将不予受理，造成的损失由竞买人自行承担。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3、跨地区或跨行转账的竞买人，需预足资金的在途时间，以免影响竞买人及时取得竞买报价权限。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4、竞买保证金到账时间以电子交易系统确认并发出《竞买保证金到账通知书》为准。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竞买保证金账号：电子交易系统随机产生竞买保证金支付账号。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（1）中国建设银行惠州广场支行；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（2）中国银行惠州分行；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（3）中国工商银行股份有限公司惠州富力国际中心支行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（4）中国农业银行惠州分行；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（5）广发银行惠州江北支行；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（6）交通银行惠州分行；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（7）惠州市农村商业银行股份有限公司惠城支行；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（8）上海浦东发展银行股份有限公司惠州分行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（9）中国民生银行股份有限公司惠州分行；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(10）中信银行股份有限公司惠州分行。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6、申请人应根据电子交易系统生成的随机保证金账号按时足额交纳竞买保证金，在电子交易系统确认竞买保证金按时足额到账之后，竞买人将被赋予对应宗地的竞买报价权限。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1、竞买人通过电子交易系统进行报价。电子报价和电子限时竞价按以下规则进行：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2、竞买人应当谨慎报价，报价一经提交并经电子交易系统确认为有效报价，不可撤回。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限时竞价是指在挂牌出让公告规定的电子挂牌交易期限截止时，有2个以上的竞买人报价，且经电子交易系统询问，5分钟内限时决定是否愿意继续报价,有竞买人愿意继续报价的，电子交易系统以高于当前最高报价一个增价幅度的价格为起始价，电子交易系统开始第一次5分钟倒计时限时报价，如在5分钟内的任一时点有新的有效报价，电子交易系统即从此时点起重新计算5分钟的限时报价时间，供竞买人作新一轮报价，并按此方式不断顺延下去,直至5分钟限时报价时间内没有新的有效报价，电子交易系统将自动关闭报价通道，确认当前最高报价为最终报价，电子交易系统即时显示电子挂牌竞价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人应当在电子挂牌交易期限截止前登录电子交易系统，密切关注交易动态。竞买人应当在电子挂牌交易期限截止后5分钟内做出是否参加电子限时竞价的决定并提交电子交易系统，超过5分钟未提交的，电子交易系统默认该竞买人参加电子限时竞价活动，但在电子挂牌交易期限截止前未进行至少一次有效报价的竞买人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1、在电子挂牌交易期限内只有1个竞买人报价，且报价不低于起始价的，则该报价者为成交候选人；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2、电子挂牌交易期限内有2个以上的竞买人报价，经电子交易系统询问，无竞买人愿意参加电子限时竞价的，以当前报价最高且报价不低于起始价者为成交候选人；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3、电子挂牌交易期限内无报价的，挂牌不成交；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4、进入电子限时竞价，电子限时竞价中报价最高且报价不低于起始价者为成交候选人；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5、进入电子限时竞价，但电子限时竞价中无竞买人报价的，以电子挂牌交易截止时报价最高且报价不低于起始价者为成交候选人。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本宗国有建设用地使用权网上挂牌出让实行竞买资格后置审查。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电子交易系统发布。成交候选人应当在电子挂牌竞价结果公布后，按挂牌出让公告及竞买须知的要求将相关资料提交至委托人，由委托人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委托人确定竞得人后，由交易中心通过电子交易系统发布交易结果。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确定竞得人后，竞得人按挂牌出让公告规定的时间与委托人、交易中心签订《国有建设用地使用权网上挂牌成交确认书》（以下简称“成交确认书”），竞得人根据成交确认书约定的时间与委托人签订交易合同。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电子交易系统竞买人操作视频可在交易中心电子交易系统下载。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竞买人对有关承诺承担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val="en-US" w:eastAsia="zh-CN"/>
        </w:rPr>
        <w:t>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新公司的股东必须100%是竞买申请企业作为法人的股东。根据挂牌出让结果，竞得人可先与出让人签订《国有建设用地使用权出让合同》，在竞得人按约定办理完新公司注册登记手续后，出让人再与新公司签订《国有建设用地使用权出让合同变更协议》；出让人也可按约定直接与新公司签订《国有建设用地使用权出让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lang w:val="en-US" w:eastAsia="zh-CN"/>
        </w:rPr>
        <w:t>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竞得人可先与出让人签订《国有建设用地使用权出让合同》，在竞得人按约定办理完新公司注册登记手续后，出让人再与新公司签订《国有建设用地使用权出让合同变更协议》；出让人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（四）《竞价结果通知书》对委托人和成交候选人具有法律效力，委托人改变网上挂牌结果的，或者成交候选人放弃竞得宗地的，应当承担相应法律责任。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竞得人应按挂牌出让公告规定的时间与交易中心、委托人签订成交确认书，根据成交确认书约定的时间与委托人签订出让合同，并按合同约定支付成交价款。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易中心受托提供代收代退竞买保证金服务，未竞得人缴纳的竞买保证金（以人民币缴纳的竞买保证金）将于电子挂牌交易活动结束之日起5个工作日内通过网上退还的形式原路退还保证金，不计利息。未竞得人以外币缴纳竞买保证金的，未竞得人应于电子挂牌交易活动结束之日起5个工作日内带齐相关资料（《竞价结果通知书》、《竞买保证金到账通知书》、保证金转账凭证等）到交易中心退还保证金，退还的保证金不计利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委托</w:t>
      </w:r>
      <w:r>
        <w:rPr>
          <w:rFonts w:hint="eastAsia" w:ascii="仿宋_GB2312" w:hAnsi="仿宋_GB2312" w:eastAsia="仿宋_GB2312" w:cs="仿宋_GB2312"/>
          <w:color w:val="auto"/>
          <w:sz w:val="32"/>
          <w:szCs w:val="32"/>
          <w:highlight w:val="none"/>
          <w:lang w:eastAsia="zh-CN"/>
        </w:rPr>
        <w:t>人</w:t>
      </w:r>
      <w:r>
        <w:rPr>
          <w:rFonts w:hint="eastAsia" w:ascii="仿宋_GB2312" w:hAnsi="仿宋_GB2312" w:eastAsia="仿宋_GB2312" w:cs="仿宋_GB2312"/>
          <w:color w:val="auto"/>
          <w:sz w:val="32"/>
          <w:szCs w:val="32"/>
          <w:highlight w:val="none"/>
        </w:rPr>
        <w:t>开具的成交价款缴款单；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2、惠州市非税收入缴款通知；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银行端查询缴税凭证；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竞买</w:t>
      </w:r>
      <w:r>
        <w:rPr>
          <w:rFonts w:hint="eastAsia" w:ascii="仿宋_GB2312" w:hAnsi="仿宋_GB2312" w:eastAsia="仿宋_GB2312" w:cs="仿宋_GB2312"/>
          <w:color w:val="auto"/>
          <w:sz w:val="32"/>
          <w:szCs w:val="32"/>
          <w:highlight w:val="none"/>
        </w:rPr>
        <w:t>保证金到账通知书；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竞价</w:t>
      </w:r>
      <w:r>
        <w:rPr>
          <w:rFonts w:hint="eastAsia" w:ascii="仿宋_GB2312" w:hAnsi="仿宋_GB2312" w:eastAsia="仿宋_GB2312" w:cs="仿宋_GB2312"/>
          <w:color w:val="auto"/>
          <w:sz w:val="32"/>
          <w:szCs w:val="32"/>
          <w:highlight w:val="none"/>
        </w:rPr>
        <w:t>结果通知书；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、保证金转账凭证。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电子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交易中心需暂停、中止或终止交易活动，并及时将相关情况报政府有关行政主管部门处理，在公共资源交易平台网上予以公告。委托人待问题排查、清除后，依法重新组织交易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（九）竞得人与委托人签订出让合同后，应当按出让合同约定支付网上挂牌成交价款。竞得人付清全部成交价款后，依法申请办理土地登记，领取《不动产权证书》。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（十）网上挂牌不成交的，由委托人重新组织挂牌出让。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（十一）挂牌出让公告、竞买须知及相关交易文件需要修改、补充时，将通过原挂牌出让公告发布渠道公告，不作另行通知。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应当及时关注该宗地的网上挂牌交易信息。交易中心发出的修改、补充公告，与挂牌出让公告、竞买须知及相关交易文件具有同等效力。若与挂牌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（十二）本须知及挂牌出让公告涉及的时间期限，以电子交易系统服务器的时间为准。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（十三）本《竞买须知》的最终解释权归交易中心所有。未尽事宜依照《招标拍卖挂牌出让国有土地使用权规范</w:t>
      </w:r>
      <w:r>
        <w:rPr>
          <w:rFonts w:hint="eastAsia" w:ascii="仿宋_GB2312" w:hAnsi="仿宋_GB2312" w:eastAsia="仿宋_GB2312" w:cs="仿宋_GB2312"/>
          <w:color w:val="auto"/>
          <w:sz w:val="32"/>
          <w:szCs w:val="32"/>
          <w:lang w:eastAsia="zh-CN"/>
        </w:rPr>
        <w:t>（试行）</w:t>
      </w:r>
      <w:r>
        <w:rPr>
          <w:rFonts w:hint="eastAsia" w:ascii="仿宋_GB2312" w:hAnsi="仿宋_GB2312" w:eastAsia="仿宋_GB2312" w:cs="仿宋_GB2312"/>
          <w:color w:val="auto"/>
          <w:sz w:val="32"/>
          <w:szCs w:val="32"/>
        </w:rPr>
        <w:t>》办理。</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22日</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C5CE0"/>
    <w:rsid w:val="06594FBB"/>
    <w:rsid w:val="07A36D3C"/>
    <w:rsid w:val="09C571EB"/>
    <w:rsid w:val="0E6722B8"/>
    <w:rsid w:val="123A4835"/>
    <w:rsid w:val="13F64E65"/>
    <w:rsid w:val="16A71418"/>
    <w:rsid w:val="19D13F37"/>
    <w:rsid w:val="1CCB74AC"/>
    <w:rsid w:val="2106242D"/>
    <w:rsid w:val="221F29FE"/>
    <w:rsid w:val="25810345"/>
    <w:rsid w:val="26C93D5C"/>
    <w:rsid w:val="2AEE0420"/>
    <w:rsid w:val="2C5D301B"/>
    <w:rsid w:val="36BB58C2"/>
    <w:rsid w:val="3A2F5F21"/>
    <w:rsid w:val="3B9F436C"/>
    <w:rsid w:val="3F280550"/>
    <w:rsid w:val="4BEB5C94"/>
    <w:rsid w:val="5AD86B1A"/>
    <w:rsid w:val="699C5CE0"/>
    <w:rsid w:val="6AE25807"/>
    <w:rsid w:val="71AB432A"/>
    <w:rsid w:val="74F66FDF"/>
    <w:rsid w:val="764D3F67"/>
    <w:rsid w:val="77A32069"/>
    <w:rsid w:val="7B5165B6"/>
    <w:rsid w:val="7D4738E4"/>
    <w:rsid w:val="7F216177"/>
    <w:rsid w:val="7FA871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2024-07-03T01:45:00Z</dcterms:created>
  <dc:creator>叶舒</dc:creator>
  <cp:lastModifiedBy>袁秀玲</cp:lastModifiedBy>
  <dcterms:modified xsi:type="dcterms:W3CDTF">2024-12-03T01:14:35Z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30A9035C090F47B7A3A298BD203B095D</vt:lpwstr>
  </property>
</Properties>
</file>