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惠公易土市直[2025]0</w:t>
      </w: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国有建设用地使用权网上挂牌出让公告（以下简称“挂牌出让公告”）对竞买资格有特别要求的，以挂牌出让公告为准。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四、申请人对网上挂牌出让文件有疑问的，可在网上挂牌活动开始前以书面或者口头方式向惠州市自然</w:t>
      </w:r>
      <w:r>
        <w:rPr>
          <w:rFonts w:hint="eastAsia" w:ascii="Times New Roman" w:hAnsi="Times New Roman" w:eastAsia="仿宋" w:cs="Times New Roman"/>
          <w:sz w:val="32"/>
          <w:szCs w:val="32"/>
          <w:lang w:val="en-US" w:eastAsia="zh-CN"/>
        </w:rPr>
        <w:t>资</w:t>
      </w:r>
      <w:r>
        <w:rPr>
          <w:rFonts w:hint="default" w:ascii="Times New Roman" w:hAnsi="Times New Roman" w:eastAsia="仿宋" w:cs="Times New Roman"/>
          <w:sz w:val="32"/>
          <w:szCs w:val="32"/>
        </w:rPr>
        <w:t>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五、网上挂牌交易程序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（一）发布网上挂牌信息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有意竞买者可登录电子交易系统网站(https://tdky.hzggzyjy.cn/)查询。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（二）挂牌文件获取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1、惠州市</w:t>
      </w:r>
      <w:r>
        <w:rPr>
          <w:rFonts w:hint="eastAsia" w:ascii="Times New Roman" w:hAnsi="Times New Roman" w:eastAsia="仿宋" w:cs="Times New Roman"/>
          <w:sz w:val="32"/>
          <w:szCs w:val="32"/>
          <w:lang w:eastAsia="zh-CN"/>
        </w:rPr>
        <w:t>市本级</w:t>
      </w:r>
      <w:r>
        <w:rPr>
          <w:rFonts w:hint="default" w:ascii="Times New Roman" w:hAnsi="Times New Roman" w:eastAsia="仿宋" w:cs="Times New Roman"/>
          <w:sz w:val="32"/>
          <w:szCs w:val="32"/>
        </w:rPr>
        <w:t>国有建设用地使用权网上挂牌出让公告；</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3、挂牌出让地块现状图；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4、建设用地红线界限图；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5、规划设计条件告知书；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7、国有建设用地使用权出让合同（样本）；</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8、其他相关文件。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（三）办理数字证书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（四）申请竞买</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开户银行：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（1）中国建设银行惠州广场支行；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（2）中国银行惠州分行；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（4）中国农业银行惠州分行；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（5）广发银行惠州江北支行；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（6）交通银行惠州分行；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（8）上海浦东发展银行股份有限公司惠州分行 ；</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（9）中国民生银行股份有限公司惠州分行；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(10）中信银行股份有限公司惠州分行。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（六）竞买人电子报价及电子限时竞价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（1）增价方式进行报价；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（2）竞买人可多次报价；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（3）初次报价不得低于起始价；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（5）每次报价应当比当前最高报价至少递增1个增价幅度。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电子挂牌交易期限截止前，竞买人应当进行至少一次有效报价，方有资格参加</w:t>
      </w:r>
      <w:r>
        <w:rPr>
          <w:rFonts w:hint="eastAsia" w:ascii="Times New Roman" w:hAnsi="Times New Roman" w:eastAsia="仿宋" w:cs="Times New Roman"/>
          <w:sz w:val="32"/>
          <w:szCs w:val="32"/>
          <w:lang w:eastAsia="zh-CN"/>
        </w:rPr>
        <w:t>交易</w:t>
      </w:r>
      <w:r>
        <w:rPr>
          <w:rFonts w:hint="default" w:ascii="Times New Roman" w:hAnsi="Times New Roman" w:eastAsia="仿宋" w:cs="Times New Roman"/>
          <w:sz w:val="32"/>
          <w:szCs w:val="32"/>
        </w:rPr>
        <w:t>宗地的电子限时竞价。</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3、电子限时竞价是指在挂牌出让公告规定的电子挂牌交易期限截止时，有2个以上的竞买人报价，且经电子交易系统询问，5分钟内限时决定是否愿意继续报价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1、在电子挂牌交易期限内只有1个竞买人报价，且报价不低于起始价的，则该报价者为成交候选人；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2、电子挂牌交易期限内有2个以上的竞买人报价，经电子交易系统询问，无竞买人愿意参加电子限时竞价的，以当前报价最高且报价不低于起始价者为成交候选人；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3、电子挂牌交易期限内无报价的，挂牌不成交；</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（九）公布交易结果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（十）签订成交确认书和交易合同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六、系统操作</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七、注意事项</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（一）竞买人须详细阅读挂牌出让公告、竞买须知及《惠州市公共资源电子交易规则》</w:t>
      </w:r>
      <w:bookmarkStart w:id="0" w:name="_GoBack"/>
      <w:bookmarkEnd w:id="0"/>
      <w:r>
        <w:rPr>
          <w:rFonts w:hint="default" w:ascii="Times New Roman" w:hAnsi="Times New Roman" w:eastAsia="仿宋" w:cs="Times New Roman"/>
          <w:sz w:val="32"/>
          <w:szCs w:val="32"/>
        </w:rPr>
        <w:t>，竞买申请一经受理确认后，即视为竞买人对挂牌出让公告、竞买须知、相关交易文件及地块现状无异议并全部接受，竞买人对有关承诺承担法律责任。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独申请竞买的，竞买申请人为非本市注册登记的企业，在竞得土地后，必须于2个月内在本市市场监管部门注册成立项目开发公司，并以该公司名义办理土地出让与登记发证手续。项目开发公司必须是竞得人的全资子公司，即竞得人必须持有项目开发公司100%的股权（份）。根据挂牌出让结果，竞得人可先与出让人签订《国有建设用地使用权出让合同》（以下简称“《出让合同》”），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联合申请竞买的，联合竞买人在提交竞买申请材料时，须提交联合竞买申请书和协议，协议主要约定联合各方的权利和义务、参与竞买的代表人、联合各方的出资比例等。联合竞买申请人竞得土地后须于2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如对联合竞买申请人的开发资质条件有明确要求的，在审查联合竞买申请人资质时，以联合体内资质最低一方的资质作为联合体的竞买资格条件。</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竞得人交纳的竞买保证金转付成交价款，办理转付成交价款手续应带齐如下相关资料：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default" w:ascii="Times New Roman" w:hAnsi="Times New Roman" w:eastAsia="仿宋" w:cs="Times New Roman"/>
          <w:sz w:val="32"/>
          <w:szCs w:val="32"/>
          <w:shd w:val="clear" w:fill="FFFFFF"/>
        </w:rPr>
        <w:t>1、</w:t>
      </w:r>
      <w:r>
        <w:rPr>
          <w:rFonts w:hint="eastAsia" w:ascii="Times New Roman" w:hAnsi="Times New Roman" w:eastAsia="仿宋" w:cs="Times New Roman"/>
          <w:sz w:val="32"/>
          <w:szCs w:val="32"/>
          <w:shd w:val="clear" w:fill="FFFFFF"/>
          <w:lang w:eastAsia="zh-CN"/>
        </w:rPr>
        <w:t>惠州市非税收入缴款通知</w:t>
      </w:r>
      <w:r>
        <w:rPr>
          <w:rFonts w:hint="default" w:ascii="Times New Roman" w:hAnsi="Times New Roman" w:eastAsia="仿宋" w:cs="Times New Roman"/>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2</w:t>
      </w:r>
      <w:r>
        <w:rPr>
          <w:rFonts w:hint="default" w:ascii="Times New Roman" w:hAnsi="Times New Roman" w:eastAsia="仿宋" w:cs="Times New Roman"/>
          <w:sz w:val="32"/>
          <w:szCs w:val="32"/>
          <w:shd w:val="clear" w:fill="FFFFFF"/>
        </w:rPr>
        <w:t>、竞买保证金到账通知书；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3</w:t>
      </w:r>
      <w:r>
        <w:rPr>
          <w:rFonts w:hint="default" w:ascii="Times New Roman" w:hAnsi="Times New Roman" w:eastAsia="仿宋" w:cs="Times New Roman"/>
          <w:sz w:val="32"/>
          <w:szCs w:val="32"/>
          <w:shd w:val="clear" w:fill="FFFFFF"/>
        </w:rPr>
        <w:t>、竞价结果通知书；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rPr>
          <w:rFonts w:hint="default" w:ascii="Times New Roman" w:hAnsi="Times New Roman" w:eastAsia="仿宋" w:cs="Times New Roman"/>
          <w:sz w:val="32"/>
          <w:szCs w:val="32"/>
        </w:rPr>
      </w:pPr>
      <w:r>
        <w:rPr>
          <w:rFonts w:hint="eastAsia" w:ascii="Times New Roman" w:hAnsi="Times New Roman" w:eastAsia="仿宋" w:cs="Times New Roman"/>
          <w:sz w:val="32"/>
          <w:szCs w:val="32"/>
          <w:shd w:val="clear" w:fill="FFFFFF"/>
          <w:lang w:val="en-US" w:eastAsia="zh-CN"/>
        </w:rPr>
        <w:t>4</w:t>
      </w:r>
      <w:r>
        <w:rPr>
          <w:rFonts w:hint="default" w:ascii="Times New Roman" w:hAnsi="Times New Roman" w:eastAsia="仿宋" w:cs="Times New Roman"/>
          <w:sz w:val="32"/>
          <w:szCs w:val="32"/>
          <w:shd w:val="clear" w:fill="FFFFFF"/>
        </w:rPr>
        <w:t>、保证金转账凭证。</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1、电子交易系统受到黑客、病毒恶意攻击的；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6、依法应当暂停、中止或终止交易的其他情形。</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2025年</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日</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5"/>
        <w:keepNext w:val="0"/>
        <w:keepLines w:val="0"/>
        <w:widowControl/>
        <w:suppressLineNumbers w:val="0"/>
        <w:spacing w:before="75" w:beforeAutospacing="0" w:after="75" w:afterAutospacing="0"/>
        <w:ind w:left="0" w:right="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auto"/>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0CB544B0"/>
    <w:rsid w:val="123A4835"/>
    <w:rsid w:val="13F64E65"/>
    <w:rsid w:val="16A71418"/>
    <w:rsid w:val="1AC62B22"/>
    <w:rsid w:val="1CCB74AC"/>
    <w:rsid w:val="1D526FDB"/>
    <w:rsid w:val="1E771830"/>
    <w:rsid w:val="2106242D"/>
    <w:rsid w:val="26C93D5C"/>
    <w:rsid w:val="27815E86"/>
    <w:rsid w:val="29265862"/>
    <w:rsid w:val="2AEE0420"/>
    <w:rsid w:val="2C5D301B"/>
    <w:rsid w:val="2E834821"/>
    <w:rsid w:val="2EEB2828"/>
    <w:rsid w:val="35E2234D"/>
    <w:rsid w:val="36BB58C2"/>
    <w:rsid w:val="3A2F5F21"/>
    <w:rsid w:val="49C30460"/>
    <w:rsid w:val="4BEB5C94"/>
    <w:rsid w:val="55083DFC"/>
    <w:rsid w:val="5749741B"/>
    <w:rsid w:val="664F245B"/>
    <w:rsid w:val="699C5CE0"/>
    <w:rsid w:val="6AE25807"/>
    <w:rsid w:val="717528BB"/>
    <w:rsid w:val="71AB432A"/>
    <w:rsid w:val="73C66915"/>
    <w:rsid w:val="74F66FDF"/>
    <w:rsid w:val="79D51DC8"/>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cp:lastModifiedBy>
  <cp:lastPrinted>2025-04-02T08:58:31Z</cp:lastPrinted>
  <dcterms:modified xsi:type="dcterms:W3CDTF">2025-04-02T09:08:24Z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D69FFA98BB0844BBA1B9EBF7AECD1CAA</vt:lpwstr>
  </property>
</Properties>
</file>