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仿宋" w:hAnsi="仿宋" w:eastAsia="仿宋" w:cs="仿宋"/>
          <w:sz w:val="48"/>
          <w:szCs w:val="48"/>
        </w:rPr>
      </w:pPr>
      <w:r>
        <w:rPr>
          <w:rFonts w:hint="eastAsia" w:ascii="仿宋" w:hAnsi="仿宋" w:eastAsia="仿宋" w:cs="仿宋"/>
          <w:sz w:val="48"/>
          <w:szCs w:val="48"/>
        </w:rPr>
        <w:t>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仿宋" w:hAnsi="仿宋" w:eastAsia="仿宋" w:cs="仿宋"/>
          <w:sz w:val="32"/>
          <w:szCs w:val="32"/>
        </w:rPr>
      </w:pPr>
      <w:r>
        <w:rPr>
          <w:rFonts w:hint="eastAsia" w:ascii="仿宋" w:hAnsi="仿宋" w:eastAsia="仿宋" w:cs="仿宋"/>
          <w:sz w:val="32"/>
          <w:szCs w:val="32"/>
        </w:rPr>
        <w:t>惠公易土市直[202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015</w:t>
      </w:r>
      <w:bookmarkStart w:id="0" w:name="_GoBack"/>
      <w:bookmarkEnd w:id="0"/>
      <w:r>
        <w:rPr>
          <w:rFonts w:hint="eastAsia" w:ascii="仿宋" w:hAnsi="仿宋" w:eastAsia="仿宋" w:cs="仿宋"/>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四、申请人对网上挂牌出让文件有疑问的，可在网上挂牌活动开始前以书面或者口头方式向惠州市自然</w:t>
      </w:r>
      <w:r>
        <w:rPr>
          <w:rFonts w:hint="eastAsia" w:ascii="仿宋" w:hAnsi="仿宋" w:eastAsia="仿宋" w:cs="仿宋"/>
          <w:sz w:val="32"/>
          <w:szCs w:val="32"/>
          <w:lang w:val="en-US" w:eastAsia="zh-CN"/>
        </w:rPr>
        <w:t>资</w:t>
      </w:r>
      <w:r>
        <w:rPr>
          <w:rFonts w:hint="eastAsia" w:ascii="仿宋" w:hAnsi="仿宋" w:eastAsia="仿宋" w:cs="仿宋"/>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有关宗地的电子挂牌出让公告等相关信息通过中国土地市场网、广东省公共资源交易平台和电子交易系统等媒介及交易场所发布。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w:t>
      </w:r>
      <w:r>
        <w:rPr>
          <w:rFonts w:hint="eastAsia" w:ascii="仿宋" w:hAnsi="仿宋" w:eastAsia="仿宋" w:cs="仿宋"/>
          <w:sz w:val="32"/>
          <w:szCs w:val="32"/>
          <w:lang w:eastAsia="zh-CN"/>
        </w:rPr>
        <w:t>交易</w:t>
      </w:r>
      <w:r>
        <w:rPr>
          <w:rFonts w:hint="eastAsia" w:ascii="仿宋" w:hAnsi="仿宋" w:eastAsia="仿宋" w:cs="仿宋"/>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3、电子限时竞价是指在挂牌出让公告规定的电子挂牌交易期限截止时，有2个以上的竞买人报价，且经电子交易系统询问，5分钟内限时决定是否愿意继续报价</w:t>
      </w:r>
      <w:r>
        <w:rPr>
          <w:rFonts w:hint="eastAsia" w:ascii="仿宋" w:hAnsi="仿宋" w:eastAsia="仿宋" w:cs="仿宋"/>
          <w:sz w:val="32"/>
          <w:szCs w:val="32"/>
          <w:lang w:val="en-US" w:eastAsia="zh-CN"/>
        </w:rPr>
        <w:t>，</w:t>
      </w:r>
      <w:r>
        <w:rPr>
          <w:rFonts w:hint="eastAsia" w:ascii="仿宋" w:hAnsi="仿宋" w:eastAsia="仿宋" w:cs="仿宋"/>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4、进入电子限时竞价，电子限时竞价中报价最高且报价不低于起始价者为成交候选人；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rPr>
        <w:t>1、</w:t>
      </w:r>
      <w:r>
        <w:rPr>
          <w:rFonts w:hint="eastAsia" w:ascii="仿宋" w:hAnsi="仿宋" w:eastAsia="仿宋" w:cs="仿宋"/>
          <w:sz w:val="32"/>
          <w:szCs w:val="32"/>
          <w:shd w:val="clear" w:fill="FFFFFF"/>
          <w:lang w:eastAsia="zh-CN"/>
        </w:rPr>
        <w:t>惠州市非税收入缴款通知</w:t>
      </w:r>
      <w:r>
        <w:rPr>
          <w:rFonts w:hint="eastAsia" w:ascii="仿宋" w:hAnsi="仿宋" w:eastAsia="仿宋" w:cs="仿宋"/>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、竞买保证金到账通知书；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、竞价结果通知书；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04011A4"/>
    <w:rsid w:val="2106242D"/>
    <w:rsid w:val="2667350D"/>
    <w:rsid w:val="26C93D5C"/>
    <w:rsid w:val="27815E86"/>
    <w:rsid w:val="29265862"/>
    <w:rsid w:val="2AEE0420"/>
    <w:rsid w:val="2C5D301B"/>
    <w:rsid w:val="2E834821"/>
    <w:rsid w:val="2EEB2828"/>
    <w:rsid w:val="2F6C7C20"/>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2026-04-03T02:00:00Z</cp:lastPrinted>
  <dcterms:modified xsi:type="dcterms:W3CDTF">2026-04-03T03:20:18Z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9BCB309D3DBC4189A1995E7EC1645A7A</vt:lpwstr>
  </property>
</Properties>
</file>