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045</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2260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678</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（二）竞得人在用地红线内开发建设必须符合城市规划要求，必须按上述建设方案的要求进行规划设计。</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本次网上挂牌出让的详细资料和具体要求，见惠州市公共资源交易中心土地与矿业网上挂牌交易系统（https://www.hzgtjy.com/）。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九、申请人应当在网上挂牌出让结束前登陆惠州市公共资源交易中心土地与矿业网上挂牌交易系统并在系统上向惠州市公共资源交易中心提交竞买申请并支付保证金。网上挂牌保证金到账截止时间为2020年12月11日上午9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十一、竞得人签订《成交确认书》后，缴交的保证金中按成交价的20%转作定金，竞得人签订《出让合同》后，定金转作土地出让价款。</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保证金少于成交价20%的，不足部分由竞得人在签订《成交确认书》之日起5个工作日内付清。</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十二、其它需要公告的事项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（一）开发投资总额不少于27000万元（含地价）。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（五）项目规划建设方案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所报总平面图的主要技术经济指标：规划布局3栋厂房、1栋办公楼、1栋宿舍楼，计算指标用地面积22868平方米，建筑层数地上最高15层（建筑高度最高50米，使用功能为宿舍），计容积率总建筑面积59456.8平方米（其中行政办公及生活服务设施建筑面积11891.36平方米，占比20%），容积率2.6 ，建筑密度 35%（其中行政办公设施用地面积1600平方米，占比7%），绿地率15%，停车位350个（其中地上30个、地下 320个），各项指标满足《建设用地规划设计条件》（HCPB20200007)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2、建设项目平面布置图详见附件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（六）招商条件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投资强度不低于11608元/平方米，土地产出率（营业收入）不低于26739元/平方米/年，税收产出不低于1300元/平方米/年。其中，土地产出率及税收产出，在项目投产后3年内逐年考核，3年内的平均值不得低于上述标准。项目须在正式签订建设用地交地确认书后3个月内动工建设，2年内竣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（七）竞得人在签订《成交确认书》前，须与惠城区高新科技产业园管委会签订《惠城区工业项目土地建设和使用监管协议书》，并由惠城区高新科技产业园管委会对项目用地实施批后监管。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1、不符合竞买资格条件的；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2、采取行贿、恶意串通等非法手段竞得的；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3、竞得人以其他非法手段竞得的；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4、竞得人逾期或拒绝签订《成交确认书》的；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5、竞得人逾期或拒绝签订《出让合同》的；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7、构成违约责任的其他行为。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（九）挂牌出让价款不含应由竞得人缴纳的契税、印花税等有关费用。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十三、该宗地使用网上挂牌方式出让，交易全程适用《惠州市国有建设用地使用权和矿业权电子挂牌交易规则》（惠府〔2014〕167号）。</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十四、联系方式：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（一）惠州市惠城区自然资源局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地址：惠州市下埔路16号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联系人：陈镇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联系电话：（0752）2117378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惠州市公共资源交易中心土地矿业交易部</w:t>
      </w:r>
      <w:r>
        <w:rPr>
          <w:rFonts w:hint="eastAsia" w:ascii="仿宋_GB2312" w:hAnsi="仿宋_GB2312" w:eastAsia="仿宋_GB2312" w:cs="仿宋_GB2312"/>
          <w:kern w:val="0"/>
          <w:sz w:val="32"/>
          <w:szCs w:val="32"/>
          <w:lang w:val="en-US" w:eastAsia="zh-CN" w:bidi="ar-SA"/>
        </w:rPr>
        <w:br w:type="textWrapping"/>
      </w:r>
      <w:r>
        <w:rPr>
          <w:rFonts w:hint="eastAsia" w:ascii="仿宋_GB2312" w:hAnsi="仿宋_GB2312" w:eastAsia="仿宋_GB2312" w:cs="仿宋_GB2312"/>
          <w:kern w:val="0"/>
          <w:sz w:val="32"/>
          <w:szCs w:val="32"/>
          <w:lang w:val="en-US" w:eastAsia="zh-CN" w:bidi="ar-SA"/>
        </w:rPr>
        <w:t xml:space="preserve">    联系地址：广东省惠州市江北文华一路2号大隆大厦6楼</w:t>
      </w:r>
      <w:r>
        <w:rPr>
          <w:rFonts w:hint="eastAsia" w:ascii="仿宋_GB2312" w:hAnsi="仿宋_GB2312" w:eastAsia="仿宋_GB2312" w:cs="仿宋_GB2312"/>
          <w:kern w:val="0"/>
          <w:sz w:val="32"/>
          <w:szCs w:val="32"/>
          <w:lang w:val="en-US" w:eastAsia="zh-CN" w:bidi="ar-SA"/>
        </w:rPr>
        <w:br w:type="textWrapping"/>
      </w:r>
      <w:r>
        <w:rPr>
          <w:rFonts w:hint="eastAsia" w:ascii="仿宋_GB2312" w:hAnsi="仿宋_GB2312" w:eastAsia="仿宋_GB2312" w:cs="仿宋_GB2312"/>
          <w:kern w:val="0"/>
          <w:sz w:val="32"/>
          <w:szCs w:val="32"/>
          <w:lang w:val="en-US" w:eastAsia="zh-CN" w:bidi="ar-SA"/>
        </w:rPr>
        <w:t xml:space="preserve">    联系人：袁小姐、黄小姐</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联系电话：（0752）7121026、7121042</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注：本公告同时在下列网站及场所发布</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中国土地市场网: http://www.landchina.com</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广东省土地市场网：</w:t>
      </w:r>
      <w:r>
        <w:rPr>
          <w:rFonts w:hint="eastAsia" w:ascii="仿宋_GB2312" w:hAnsi="仿宋_GB2312" w:eastAsia="仿宋_GB2312" w:cs="仿宋_GB2312"/>
          <w:kern w:val="0"/>
          <w:sz w:val="32"/>
          <w:szCs w:val="32"/>
          <w:lang w:val="en-US" w:eastAsia="zh-CN" w:bidi="ar-SA"/>
        </w:rPr>
        <w:fldChar w:fldCharType="begin"/>
      </w:r>
      <w:r>
        <w:rPr>
          <w:rFonts w:hint="eastAsia" w:ascii="仿宋_GB2312" w:hAnsi="仿宋_GB2312" w:eastAsia="仿宋_GB2312" w:cs="仿宋_GB2312"/>
          <w:kern w:val="0"/>
          <w:sz w:val="32"/>
          <w:szCs w:val="32"/>
          <w:lang w:val="en-US" w:eastAsia="zh-CN" w:bidi="ar-SA"/>
        </w:rPr>
        <w:instrText xml:space="preserve"> HYPERLINK "http://www.landgd.com" </w:instrText>
      </w:r>
      <w:r>
        <w:rPr>
          <w:rFonts w:hint="eastAsia" w:ascii="仿宋_GB2312" w:hAnsi="仿宋_GB2312" w:eastAsia="仿宋_GB2312" w:cs="仿宋_GB2312"/>
          <w:kern w:val="0"/>
          <w:sz w:val="32"/>
          <w:szCs w:val="32"/>
          <w:lang w:val="en-US" w:eastAsia="zh-CN" w:bidi="ar-SA"/>
        </w:rPr>
        <w:fldChar w:fldCharType="separate"/>
      </w:r>
      <w:r>
        <w:rPr>
          <w:rFonts w:hint="eastAsia" w:ascii="仿宋_GB2312" w:hAnsi="仿宋_GB2312" w:eastAsia="仿宋_GB2312" w:cs="仿宋_GB2312"/>
          <w:kern w:val="0"/>
          <w:sz w:val="32"/>
          <w:szCs w:val="32"/>
          <w:lang w:val="en-US" w:eastAsia="zh-CN" w:bidi="ar-SA"/>
        </w:rPr>
        <w:t>http://www.landgd.com</w:t>
      </w:r>
      <w:r>
        <w:rPr>
          <w:rFonts w:hint="eastAsia" w:ascii="仿宋_GB2312" w:hAnsi="仿宋_GB2312" w:eastAsia="仿宋_GB2312" w:cs="仿宋_GB2312"/>
          <w:kern w:val="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惠州市自然资源局网站：http://land.huizhou.gov.cn</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惠州市公共资源交易中心网：</w:t>
      </w:r>
      <w:r>
        <w:rPr>
          <w:rFonts w:hint="eastAsia" w:ascii="仿宋_GB2312" w:hAnsi="仿宋_GB2312" w:eastAsia="仿宋_GB2312" w:cs="仿宋_GB2312"/>
          <w:kern w:val="0"/>
          <w:sz w:val="32"/>
          <w:szCs w:val="32"/>
          <w:lang w:val="en-US" w:eastAsia="zh-CN" w:bidi="ar-SA"/>
        </w:rPr>
        <w:fldChar w:fldCharType="begin"/>
      </w:r>
      <w:r>
        <w:rPr>
          <w:rFonts w:hint="eastAsia" w:ascii="仿宋_GB2312" w:hAnsi="仿宋_GB2312" w:eastAsia="仿宋_GB2312" w:cs="仿宋_GB2312"/>
          <w:kern w:val="0"/>
          <w:sz w:val="32"/>
          <w:szCs w:val="32"/>
          <w:lang w:val="en-US" w:eastAsia="zh-CN" w:bidi="ar-SA"/>
        </w:rPr>
        <w:instrText xml:space="preserve"> HYPERLINK "http://zyjy.huizhou.gov.cn" </w:instrText>
      </w:r>
      <w:r>
        <w:rPr>
          <w:rFonts w:hint="eastAsia" w:ascii="仿宋_GB2312" w:hAnsi="仿宋_GB2312" w:eastAsia="仿宋_GB2312" w:cs="仿宋_GB2312"/>
          <w:kern w:val="0"/>
          <w:sz w:val="32"/>
          <w:szCs w:val="32"/>
          <w:lang w:val="en-US" w:eastAsia="zh-CN" w:bidi="ar-SA"/>
        </w:rPr>
        <w:fldChar w:fldCharType="separate"/>
      </w:r>
      <w:r>
        <w:rPr>
          <w:rFonts w:hint="eastAsia" w:ascii="仿宋_GB2312" w:hAnsi="仿宋_GB2312" w:eastAsia="仿宋_GB2312" w:cs="仿宋_GB2312"/>
          <w:kern w:val="0"/>
          <w:sz w:val="32"/>
          <w:szCs w:val="32"/>
          <w:lang w:val="en-US" w:eastAsia="zh-CN" w:bidi="ar-SA"/>
        </w:rPr>
        <w:t>http://zyjy.huizhou.gov.cn</w:t>
      </w:r>
      <w:r>
        <w:rPr>
          <w:rFonts w:hint="eastAsia" w:ascii="仿宋_GB2312" w:hAnsi="仿宋_GB2312" w:eastAsia="仿宋_GB2312" w:cs="仿宋_GB2312"/>
          <w:kern w:val="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惠州市公共资源交易中心交易大厅现场。</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惠州日报。</w:t>
      </w:r>
    </w:p>
    <w:p>
      <w:pPr>
        <w:keepNext w:val="0"/>
        <w:keepLines w:val="0"/>
        <w:pageBreakBefore w:val="0"/>
        <w:widowControl w:val="0"/>
        <w:kinsoku/>
        <w:wordWrap/>
        <w:overflowPunct/>
        <w:topLinePunct w:val="0"/>
        <w:autoSpaceDE/>
        <w:autoSpaceDN/>
        <w:bidi w:val="0"/>
        <w:adjustRightInd/>
        <w:snapToGrid/>
        <w:spacing w:line="560" w:lineRule="exact"/>
        <w:ind w:left="487" w:leftChars="232"/>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数字证书办理地址：惠州市江北云山西路二号帝景国际商务中心七层18-22房。</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555"/>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keepNext w:val="0"/>
        <w:keepLines w:val="0"/>
        <w:pageBreakBefore w:val="0"/>
        <w:widowControl w:val="0"/>
        <w:kinsoku/>
        <w:wordWrap/>
        <w:overflowPunct/>
        <w:topLinePunct w:val="0"/>
        <w:autoSpaceDE/>
        <w:autoSpaceDN/>
        <w:bidi w:val="0"/>
        <w:spacing w:line="560" w:lineRule="exact"/>
        <w:ind w:firstLine="555"/>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keepNext w:val="0"/>
        <w:keepLines w:val="0"/>
        <w:pageBreakBefore w:val="0"/>
        <w:widowControl w:val="0"/>
        <w:kinsoku/>
        <w:wordWrap/>
        <w:overflowPunct/>
        <w:topLinePunct w:val="0"/>
        <w:autoSpaceDE/>
        <w:autoSpaceDN/>
        <w:bidi w:val="0"/>
        <w:spacing w:line="560" w:lineRule="exact"/>
        <w:ind w:firstLine="4681" w:firstLineChars="1463"/>
        <w:jc w:val="center"/>
        <w:textAlignment w:val="auto"/>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2020年11月6日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50"/>
        <w:gridCol w:w="750"/>
        <w:gridCol w:w="675"/>
        <w:gridCol w:w="915"/>
        <w:gridCol w:w="807"/>
        <w:gridCol w:w="483"/>
        <w:gridCol w:w="1005"/>
        <w:gridCol w:w="1425"/>
        <w:gridCol w:w="1100"/>
        <w:gridCol w:w="933"/>
        <w:gridCol w:w="1062"/>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4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5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91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815"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450"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675" w:type="dxa"/>
            <w:vMerge w:val="continue"/>
            <w:vAlign w:val="center"/>
          </w:tcPr>
          <w:p>
            <w:pPr>
              <w:adjustRightInd w:val="0"/>
              <w:snapToGrid w:val="0"/>
              <w:spacing w:line="320" w:lineRule="exact"/>
              <w:jc w:val="center"/>
              <w:rPr>
                <w:rFonts w:hint="eastAsia" w:ascii="仿宋_GB2312" w:eastAsia="仿宋_GB2312"/>
                <w:b/>
                <w:bCs/>
              </w:rPr>
            </w:pPr>
          </w:p>
        </w:tc>
        <w:tc>
          <w:tcPr>
            <w:tcW w:w="915" w:type="dxa"/>
            <w:vMerge w:val="continue"/>
            <w:vAlign w:val="center"/>
          </w:tcPr>
          <w:p>
            <w:pPr>
              <w:adjustRightInd w:val="0"/>
              <w:snapToGrid w:val="0"/>
              <w:spacing w:line="320" w:lineRule="exact"/>
              <w:jc w:val="center"/>
              <w:rPr>
                <w:rFonts w:hint="eastAsia" w:ascii="仿宋_GB2312" w:eastAsia="仿宋_GB2312"/>
                <w:b/>
                <w:bCs/>
              </w:rPr>
            </w:pPr>
          </w:p>
        </w:tc>
        <w:tc>
          <w:tcPr>
            <w:tcW w:w="807"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483"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1005"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425"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100"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33"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1062" w:type="dxa"/>
            <w:vAlign w:val="center"/>
          </w:tcPr>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产业类型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GP2020-45</w:t>
            </w:r>
            <w:bookmarkStart w:id="0" w:name="_GoBack"/>
            <w:bookmarkEnd w:id="0"/>
          </w:p>
        </w:tc>
        <w:tc>
          <w:tcPr>
            <w:tcW w:w="450" w:type="dxa"/>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cs="Times New Roman"/>
                <w:szCs w:val="21"/>
                <w:lang w:val="en-US" w:eastAsia="zh-CN"/>
              </w:rPr>
              <w:t>惠州市惠城区马安工业集中发展区（北）</w:t>
            </w:r>
          </w:p>
        </w:tc>
        <w:tc>
          <w:tcPr>
            <w:tcW w:w="7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MABY-01-28-02</w:t>
            </w:r>
          </w:p>
        </w:tc>
        <w:tc>
          <w:tcPr>
            <w:tcW w:w="675" w:type="dxa"/>
            <w:tcMar>
              <w:left w:w="0" w:type="dxa"/>
              <w:right w:w="0" w:type="dxa"/>
            </w:tcMar>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一类工业用地</w:t>
            </w:r>
          </w:p>
        </w:tc>
        <w:tc>
          <w:tcPr>
            <w:tcW w:w="915" w:type="dxa"/>
            <w:vAlign w:val="center"/>
          </w:tcPr>
          <w:p>
            <w:pPr>
              <w:jc w:val="center"/>
              <w:rPr>
                <w:rFonts w:hint="default" w:eastAsia="仿宋_GB2312"/>
                <w:szCs w:val="21"/>
                <w:lang w:val="en-US" w:eastAsia="zh-CN"/>
              </w:rPr>
            </w:pPr>
            <w:r>
              <w:rPr>
                <w:rFonts w:hint="eastAsia" w:ascii="仿宋_GB2312" w:hAnsi="Times New Roman" w:eastAsia="仿宋_GB2312" w:cs="Times New Roman"/>
                <w:szCs w:val="21"/>
                <w:lang w:val="en-US" w:eastAsia="zh-CN"/>
              </w:rPr>
              <w:t>20545.69</w:t>
            </w:r>
          </w:p>
        </w:tc>
        <w:tc>
          <w:tcPr>
            <w:tcW w:w="807" w:type="dxa"/>
            <w:vAlign w:val="center"/>
          </w:tcPr>
          <w:p>
            <w:pPr>
              <w:jc w:val="center"/>
              <w:rPr>
                <w:rFonts w:hint="default" w:eastAsia="仿宋_GB2312"/>
                <w:szCs w:val="21"/>
                <w:lang w:val="en-US" w:eastAsia="zh-CN"/>
              </w:rPr>
            </w:pPr>
            <w:r>
              <w:rPr>
                <w:rFonts w:hint="eastAsia" w:ascii="仿宋_GB2312" w:hAnsi="Times New Roman" w:eastAsia="仿宋_GB2312" w:cs="Times New Roman"/>
                <w:szCs w:val="21"/>
                <w:lang w:val="en-US" w:eastAsia="zh-CN"/>
              </w:rPr>
              <w:t>22868</w:t>
            </w:r>
          </w:p>
        </w:tc>
        <w:tc>
          <w:tcPr>
            <w:tcW w:w="483" w:type="dxa"/>
            <w:vAlign w:val="center"/>
          </w:tcPr>
          <w:p>
            <w:pPr>
              <w:adjustRightInd w:val="0"/>
              <w:snapToGrid w:val="0"/>
              <w:spacing w:line="400" w:lineRule="exact"/>
              <w:jc w:val="center"/>
              <w:rPr>
                <w:rFonts w:hint="default" w:ascii="仿宋_GB2312" w:hAnsi="Times New Roman" w:eastAsia="仿宋_GB2312"/>
                <w:szCs w:val="21"/>
                <w:lang w:val="en-US"/>
              </w:rPr>
            </w:pPr>
            <w:r>
              <w:rPr>
                <w:rFonts w:hint="eastAsia" w:ascii="仿宋_GB2312" w:hAnsi="仿宋_GB2312" w:eastAsia="仿宋_GB2312"/>
                <w:color w:val="000000"/>
                <w:szCs w:val="21"/>
                <w:lang w:val="en-US" w:eastAsia="zh-CN"/>
              </w:rPr>
              <w:t>≥35</w:t>
            </w:r>
          </w:p>
        </w:tc>
        <w:tc>
          <w:tcPr>
            <w:tcW w:w="1005" w:type="dxa"/>
            <w:vAlign w:val="center"/>
          </w:tcPr>
          <w:p>
            <w:pPr>
              <w:adjustRightInd w:val="0"/>
              <w:snapToGrid w:val="0"/>
              <w:spacing w:line="400" w:lineRule="exact"/>
              <w:jc w:val="center"/>
              <w:rPr>
                <w:rFonts w:hint="eastAsia" w:ascii="仿宋_GB2312" w:hAnsi="Times New Roman" w:eastAsia="仿宋_GB2312"/>
                <w:szCs w:val="21"/>
                <w:lang w:val="en-US" w:eastAsia="zh-CN"/>
              </w:rPr>
            </w:pPr>
            <w:r>
              <w:rPr>
                <w:rFonts w:hint="eastAsia" w:ascii="仿宋_GB2312" w:hAnsi="仿宋_GB2312" w:eastAsia="仿宋_GB2312" w:cs="仿宋_GB2312"/>
                <w:szCs w:val="21"/>
                <w:lang w:val="en-US" w:eastAsia="zh-CN"/>
              </w:rPr>
              <w:t>1.8-3.5</w:t>
            </w:r>
          </w:p>
        </w:tc>
        <w:tc>
          <w:tcPr>
            <w:tcW w:w="1425" w:type="dxa"/>
            <w:vAlign w:val="center"/>
          </w:tcPr>
          <w:p>
            <w:pPr>
              <w:adjustRightInd w:val="0"/>
              <w:snapToGrid w:val="0"/>
              <w:spacing w:line="400" w:lineRule="exact"/>
              <w:jc w:val="center"/>
              <w:rPr>
                <w:rFonts w:hint="default" w:ascii="仿宋_GB2312" w:hAnsi="Times New Roman" w:eastAsia="仿宋_GB2312"/>
                <w:szCs w:val="21"/>
                <w:lang w:val="en-US"/>
              </w:rPr>
            </w:pPr>
            <w:r>
              <w:rPr>
                <w:rFonts w:hint="eastAsia" w:ascii="仿宋_GB2312" w:hAnsi="仿宋_GB2312" w:eastAsia="仿宋_GB2312" w:cs="仿宋_GB2312"/>
                <w:szCs w:val="21"/>
                <w:lang w:val="en-US" w:eastAsia="zh-CN"/>
              </w:rPr>
              <w:t>41163-80038</w:t>
            </w:r>
          </w:p>
        </w:tc>
        <w:tc>
          <w:tcPr>
            <w:tcW w:w="1100" w:type="dxa"/>
            <w:vAlign w:val="center"/>
          </w:tcPr>
          <w:p>
            <w:pPr>
              <w:adjustRightInd w:val="0"/>
              <w:snapToGrid w:val="0"/>
              <w:spacing w:line="400" w:lineRule="exact"/>
              <w:jc w:val="center"/>
              <w:rPr>
                <w:rFonts w:hint="default" w:ascii="仿宋_GB2312" w:hAnsi="Times New Roman" w:eastAsia="仿宋_GB2312"/>
                <w:szCs w:val="21"/>
                <w:lang w:val="en-US" w:eastAsia="zh-CN"/>
              </w:rPr>
            </w:pPr>
            <w:r>
              <w:rPr>
                <w:rFonts w:hint="eastAsia" w:ascii="仿宋_GB2312" w:hAnsi="仿宋_GB2312" w:eastAsia="仿宋_GB2312" w:cs="仿宋_GB2312"/>
                <w:szCs w:val="21"/>
              </w:rPr>
              <w:t>每100平方米计容积率面积</w:t>
            </w:r>
            <w:r>
              <w:rPr>
                <w:rFonts w:hint="eastAsia" w:ascii="仿宋_GB2312" w:hAnsi="仿宋_GB2312" w:eastAsia="仿宋_GB2312"/>
                <w:color w:val="000000"/>
                <w:szCs w:val="21"/>
              </w:rPr>
              <w:t>≥</w:t>
            </w:r>
            <w:r>
              <w:rPr>
                <w:rFonts w:hint="eastAsia" w:ascii="仿宋_GB2312" w:hAnsi="仿宋_GB2312" w:eastAsia="仿宋_GB2312" w:cs="仿宋_GB2312"/>
                <w:szCs w:val="21"/>
              </w:rPr>
              <w:t>1个</w:t>
            </w:r>
          </w:p>
        </w:tc>
        <w:tc>
          <w:tcPr>
            <w:tcW w:w="933" w:type="dxa"/>
            <w:vAlign w:val="center"/>
          </w:tcPr>
          <w:p>
            <w:pPr>
              <w:ind w:leftChars="-51" w:right="-118" w:rightChars="-56" w:hanging="107" w:hangingChars="51"/>
              <w:jc w:val="center"/>
              <w:rPr>
                <w:rFonts w:hint="eastAsia" w:ascii="仿宋_GB2312" w:hAnsi="Times New Roman" w:eastAsia="仿宋_GB2312"/>
                <w:szCs w:val="21"/>
              </w:rPr>
            </w:pPr>
            <w:r>
              <w:rPr>
                <w:rFonts w:hint="eastAsia" w:ascii="仿宋_GB2312" w:hAnsi="仿宋_GB2312" w:eastAsia="仿宋_GB2312" w:cs="仿宋_GB2312"/>
                <w:szCs w:val="21"/>
                <w:lang w:val="en-US" w:eastAsia="zh-CN"/>
              </w:rPr>
              <w:t>15-</w:t>
            </w:r>
            <w:r>
              <w:rPr>
                <w:rFonts w:hint="eastAsia" w:ascii="仿宋_GB2312" w:hAnsi="Times New Roman" w:eastAsia="仿宋_GB2312"/>
                <w:szCs w:val="21"/>
                <w:lang w:val="en-US" w:eastAsia="zh-CN"/>
              </w:rPr>
              <w:t>20</w:t>
            </w:r>
          </w:p>
        </w:tc>
        <w:tc>
          <w:tcPr>
            <w:tcW w:w="1062" w:type="dxa"/>
            <w:vAlign w:val="center"/>
          </w:tcPr>
          <w:p>
            <w:pPr>
              <w:ind w:leftChars="-51" w:right="-118" w:rightChars="-56" w:hanging="107" w:hangingChars="51"/>
              <w:jc w:val="left"/>
              <w:rPr>
                <w:rFonts w:hint="eastAsia" w:ascii="仿宋_GB2312" w:hAnsi="Times New Roman" w:eastAsia="仿宋_GB2312"/>
                <w:szCs w:val="21"/>
                <w:lang w:eastAsia="zh-CN"/>
              </w:rPr>
            </w:pPr>
            <w:r>
              <w:rPr>
                <w:rFonts w:hint="eastAsia" w:ascii="仿宋_GB2312" w:hAnsi="仿宋_GB2312" w:eastAsia="仿宋_GB2312" w:cs="Times New Roman"/>
                <w:color w:val="000000"/>
                <w:szCs w:val="21"/>
                <w:lang w:eastAsia="zh-CN"/>
              </w:rPr>
              <w:t>通信设备、计算机及其他电子设备制造业</w:t>
            </w:r>
            <w:r>
              <w:rPr>
                <w:rFonts w:hint="eastAsia" w:ascii="仿宋_GB2312" w:hAnsi="仿宋_GB2312" w:eastAsia="仿宋_GB2312" w:cs="Times New Roman"/>
                <w:color w:val="000000"/>
                <w:szCs w:val="21"/>
                <w:lang w:val="en-US" w:eastAsia="zh-CN"/>
              </w:rPr>
              <w:t>用地</w:t>
            </w:r>
          </w:p>
        </w:tc>
        <w:tc>
          <w:tcPr>
            <w:tcW w:w="670" w:type="dxa"/>
            <w:vAlign w:val="center"/>
          </w:tcPr>
          <w:p>
            <w:pPr>
              <w:ind w:leftChars="-51" w:right="-118" w:rightChars="-56" w:hanging="107" w:hangingChars="51"/>
              <w:jc w:val="center"/>
              <w:rPr>
                <w:rFonts w:hint="eastAsia" w:ascii="仿宋_GB2312" w:hAnsi="仿宋_GB2312" w:eastAsia="仿宋_GB2312"/>
                <w:color w:val="000000"/>
                <w:szCs w:val="21"/>
              </w:rPr>
            </w:pP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0年</w:t>
            </w:r>
          </w:p>
          <w:p>
            <w:pPr>
              <w:ind w:leftChars="-51" w:right="-118" w:rightChars="-56" w:hanging="107" w:hangingChars="51"/>
              <w:jc w:val="left"/>
              <w:rPr>
                <w:rFonts w:hint="eastAsia" w:ascii="仿宋_GB2312" w:hAnsi="仿宋_GB2312" w:eastAsia="仿宋_GB2312"/>
                <w:color w:val="000000"/>
                <w:szCs w:val="21"/>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01486"/>
    <w:rsid w:val="082B1937"/>
    <w:rsid w:val="0E43504E"/>
    <w:rsid w:val="0E7A65F6"/>
    <w:rsid w:val="0EB47192"/>
    <w:rsid w:val="101D3BC2"/>
    <w:rsid w:val="10BD4DFA"/>
    <w:rsid w:val="167673A1"/>
    <w:rsid w:val="17AA0480"/>
    <w:rsid w:val="188D227F"/>
    <w:rsid w:val="1A0B2C56"/>
    <w:rsid w:val="1E862B6D"/>
    <w:rsid w:val="20ED2229"/>
    <w:rsid w:val="22890C8D"/>
    <w:rsid w:val="27037272"/>
    <w:rsid w:val="28774868"/>
    <w:rsid w:val="2A870225"/>
    <w:rsid w:val="304C7078"/>
    <w:rsid w:val="35335FA2"/>
    <w:rsid w:val="36061489"/>
    <w:rsid w:val="38BD14D1"/>
    <w:rsid w:val="3B0B3E52"/>
    <w:rsid w:val="3C324727"/>
    <w:rsid w:val="40231E47"/>
    <w:rsid w:val="40363F40"/>
    <w:rsid w:val="43706132"/>
    <w:rsid w:val="538C505C"/>
    <w:rsid w:val="57C844D5"/>
    <w:rsid w:val="596A13D8"/>
    <w:rsid w:val="5AF873B7"/>
    <w:rsid w:val="5D241B5A"/>
    <w:rsid w:val="692A6240"/>
    <w:rsid w:val="6EB83079"/>
    <w:rsid w:val="6F4B3B48"/>
    <w:rsid w:val="71C8333B"/>
    <w:rsid w:val="739C4FF2"/>
    <w:rsid w:val="761352C3"/>
    <w:rsid w:val="7D060077"/>
    <w:rsid w:val="7D452065"/>
    <w:rsid w:val="7DF64785"/>
    <w:rsid w:val="7E26651B"/>
    <w:rsid w:val="7E51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黄春枚</cp:lastModifiedBy>
  <cp:lastPrinted>2020-11-06T06:40:00Z</cp:lastPrinted>
  <dcterms:modified xsi:type="dcterms:W3CDTF">2020-11-06T08:33:33Z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