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047</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2220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666</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ascii="仿宋_GB2312" w:hAnsi="仿宋_GB2312" w:eastAsia="仿宋_GB2312" w:cs="仿宋_GB2312"/>
          <w:sz w:val="32"/>
          <w:szCs w:val="32"/>
        </w:rPr>
        <w:t>（二）竞得人在用地红线内开发建设必须符合城市规划要求，必须按上述建设方案的要求进行规划设计。</w:t>
      </w:r>
      <w:r>
        <w:rPr>
          <w:rFonts w:hint="eastAsia" w:hAnsi="仿宋_GB2312" w:cs="仿宋_GB2312"/>
          <w:szCs w:val="32"/>
        </w:rPr>
        <w:t>竞得人在用地红线内开发建设必须符合城市规划要求，必须按《规划设计</w:t>
      </w:r>
      <w:r>
        <w:rPr>
          <w:rFonts w:hAnsi="仿宋_GB2312" w:cs="仿宋_GB2312"/>
          <w:szCs w:val="32"/>
        </w:rPr>
        <w:t>条件</w:t>
      </w:r>
      <w:r>
        <w:rPr>
          <w:rFonts w:hint="eastAsia" w:hAnsi="仿宋_GB2312" w:cs="仿宋_GB2312"/>
          <w:szCs w:val="32"/>
        </w:rPr>
        <w:t>告知书》（案卷编号：</w:t>
      </w:r>
      <w:r>
        <w:rPr>
          <w:rFonts w:hint="eastAsia" w:hAnsi="仿宋_GB2312" w:cs="仿宋_GB2312"/>
          <w:szCs w:val="32"/>
          <w:lang w:val="en-US" w:eastAsia="zh-CN"/>
        </w:rPr>
        <w:t>HC</w:t>
      </w:r>
      <w:r>
        <w:rPr>
          <w:rFonts w:hint="eastAsia" w:hAnsi="仿宋"/>
          <w:kern w:val="2"/>
          <w:szCs w:val="32"/>
        </w:rPr>
        <w:t>PB20</w:t>
      </w:r>
      <w:r>
        <w:rPr>
          <w:rFonts w:hint="eastAsia" w:hAnsi="仿宋"/>
          <w:kern w:val="2"/>
          <w:szCs w:val="32"/>
          <w:lang w:val="en-US" w:eastAsia="zh-CN"/>
        </w:rPr>
        <w:t>200009</w:t>
      </w:r>
      <w:r>
        <w:rPr>
          <w:rFonts w:hint="eastAsia" w:hAnsi="仿宋_GB2312" w:cs="仿宋_GB2312"/>
          <w:szCs w:val="32"/>
        </w:rPr>
        <w:t>）规划控制指标要求及有关规定进行规划设计。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Ansi="仿宋_GB2312" w:cs="仿宋_GB2312"/>
          <w:szCs w:val="32"/>
        </w:rPr>
        <w:t>(</w:t>
      </w:r>
      <w:r>
        <w:rPr>
          <w:rFonts w:hint="eastAsia" w:hAnsi="仿宋_GB2312" w:cs="仿宋_GB2312"/>
          <w:szCs w:val="32"/>
          <w:lang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2.7亿</w:t>
      </w:r>
      <w:r>
        <w:rPr>
          <w:rFonts w:hint="eastAsia" w:ascii="仿宋_GB2312" w:hAnsi="仿宋_GB2312" w:eastAsia="仿宋_GB2312" w:cs="仿宋_GB2312"/>
          <w:sz w:val="32"/>
          <w:szCs w:val="32"/>
        </w:rPr>
        <w:t>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7栋栋厂房1栋宿舍1间门卫室，计算指标用地面积22431平方米，计容积率建筑面积49601.45平方米（其中宿舍建筑面积2247.36平方米，占比4.5%），容积率2.2，总基底面积10278.1平方米（宿舍基底面积367平方米，占用地面积比1.6%），建筑密度45.8%，停车位100个，绿地率15%。各项指标满足《建设用地规划设计条件》（HCPB20200009)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投资强度不低于</w:t>
      </w:r>
      <w:r>
        <w:rPr>
          <w:rFonts w:hint="eastAsia" w:ascii="仿宋_GB2312" w:hAnsi="仿宋_GB2312" w:eastAsia="仿宋_GB2312" w:cs="仿宋_GB2312"/>
          <w:sz w:val="32"/>
          <w:szCs w:val="32"/>
          <w:lang w:val="en-US" w:eastAsia="zh-CN"/>
        </w:rPr>
        <w:t>11363元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45454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/年。其中，土地产出率及税收产出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在项目投产后3年内逐年考核，3年内的平均值不得低于上述标准。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在签订《国有建设用地交地确认书》5年内不得转让土地使用权（包含但不限于公司股权转让），非因企业破产不得终止项目建设及运营。若因企业经营不善等原因，乙方确定</w:t>
      </w:r>
      <w:r>
        <w:rPr>
          <w:rFonts w:hint="eastAsia" w:ascii="仿宋_GB2312" w:hAnsi="仿宋_GB2312" w:eastAsia="仿宋_GB2312" w:cs="仿宋_GB2312"/>
          <w:sz w:val="32"/>
          <w:szCs w:val="32"/>
        </w:rPr>
        <w:t>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bookmarkStart w:id="0" w:name="_GoBack"/>
      <w:bookmarkEnd w:id="0"/>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2020年11月6日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GP2020-47</w:t>
            </w:r>
          </w:p>
        </w:tc>
        <w:tc>
          <w:tcPr>
            <w:tcW w:w="450" w:type="dxa"/>
            <w:vAlign w:val="center"/>
          </w:tcPr>
          <w:p>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惠州市惠城区马安工业集中发展区（北）</w:t>
            </w:r>
          </w:p>
        </w:tc>
        <w:tc>
          <w:tcPr>
            <w:tcW w:w="750"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MABY-01-27-01</w:t>
            </w:r>
          </w:p>
        </w:tc>
        <w:tc>
          <w:tcPr>
            <w:tcW w:w="675" w:type="dxa"/>
            <w:tcMar>
              <w:left w:w="0" w:type="dxa"/>
              <w:right w:w="0" w:type="dxa"/>
            </w:tcMar>
            <w:vAlign w:val="center"/>
          </w:tcPr>
          <w:p>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一类工业用地</w:t>
            </w:r>
          </w:p>
        </w:tc>
        <w:tc>
          <w:tcPr>
            <w:tcW w:w="774"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20269.14</w:t>
            </w:r>
          </w:p>
        </w:tc>
        <w:tc>
          <w:tcPr>
            <w:tcW w:w="948"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22431</w:t>
            </w:r>
          </w:p>
        </w:tc>
        <w:tc>
          <w:tcPr>
            <w:tcW w:w="720" w:type="dxa"/>
            <w:vAlign w:val="center"/>
          </w:tcPr>
          <w:p>
            <w:pPr>
              <w:adjustRightInd w:val="0"/>
              <w:snapToGrid w:val="0"/>
              <w:spacing w:line="40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color w:val="000000"/>
                <w:szCs w:val="21"/>
                <w:lang w:val="en-US" w:eastAsia="zh-CN"/>
              </w:rPr>
              <w:t>≥35</w:t>
            </w:r>
          </w:p>
        </w:tc>
        <w:tc>
          <w:tcPr>
            <w:tcW w:w="672"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b w:val="0"/>
                <w:bCs w:val="0"/>
                <w:szCs w:val="21"/>
                <w:lang w:val="en-US" w:eastAsia="zh-CN"/>
              </w:rPr>
              <w:t>1.8</w:t>
            </w:r>
            <w:r>
              <w:rPr>
                <w:rFonts w:hint="default" w:ascii="Times New Roman" w:hAnsi="Times New Roman" w:eastAsia="仿宋_GB2312" w:cs="Times New Roman"/>
                <w:szCs w:val="21"/>
                <w:lang w:val="en-US" w:eastAsia="zh-CN"/>
              </w:rPr>
              <w:t>-</w:t>
            </w:r>
          </w:p>
          <w:p>
            <w:pPr>
              <w:adjustRightInd w:val="0"/>
              <w:snapToGrid w:val="0"/>
              <w:spacing w:line="4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val="en-US" w:eastAsia="zh-CN"/>
              </w:rPr>
              <w:t>5</w:t>
            </w:r>
          </w:p>
        </w:tc>
        <w:tc>
          <w:tcPr>
            <w:tcW w:w="1650" w:type="dxa"/>
            <w:vAlign w:val="center"/>
          </w:tcPr>
          <w:p>
            <w:pPr>
              <w:adjustRightInd w:val="0"/>
              <w:snapToGrid w:val="0"/>
              <w:spacing w:line="40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40376-78508</w:t>
            </w:r>
          </w:p>
        </w:tc>
        <w:tc>
          <w:tcPr>
            <w:tcW w:w="1087"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每100平方米计容积率面积</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szCs w:val="21"/>
              </w:rPr>
              <w:t>1个</w:t>
            </w:r>
          </w:p>
        </w:tc>
        <w:tc>
          <w:tcPr>
            <w:tcW w:w="900" w:type="dxa"/>
            <w:vAlign w:val="center"/>
          </w:tcPr>
          <w:p>
            <w:pPr>
              <w:ind w:leftChars="-51" w:right="-118" w:rightChars="-56" w:hanging="107" w:hangingChars="51"/>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15-20</w:t>
            </w:r>
          </w:p>
        </w:tc>
        <w:tc>
          <w:tcPr>
            <w:tcW w:w="979" w:type="dxa"/>
            <w:vAlign w:val="center"/>
          </w:tcPr>
          <w:p>
            <w:pPr>
              <w:ind w:leftChars="-51" w:right="-118" w:rightChars="-56" w:hanging="107" w:hangingChars="51"/>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color w:val="000000"/>
                <w:szCs w:val="21"/>
                <w:lang w:eastAsia="zh-CN"/>
              </w:rPr>
              <w:t>电气机械及器材制造业</w:t>
            </w:r>
            <w:r>
              <w:rPr>
                <w:rFonts w:hint="default" w:ascii="Times New Roman" w:hAnsi="Times New Roman" w:eastAsia="仿宋_GB2312" w:cs="Times New Roman"/>
                <w:color w:val="000000"/>
                <w:szCs w:val="21"/>
                <w:lang w:val="en-US" w:eastAsia="zh-CN"/>
              </w:rPr>
              <w:t>用地</w:t>
            </w:r>
          </w:p>
        </w:tc>
        <w:tc>
          <w:tcPr>
            <w:tcW w:w="670" w:type="dxa"/>
            <w:vAlign w:val="center"/>
          </w:tcPr>
          <w:p>
            <w:pPr>
              <w:ind w:leftChars="-51" w:right="-118" w:rightChars="-56" w:hanging="107" w:hangingChars="51"/>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CN"/>
              </w:rPr>
              <w:t>5</w:t>
            </w:r>
            <w:r>
              <w:rPr>
                <w:rFonts w:hint="default" w:ascii="Times New Roman" w:hAnsi="Times New Roman" w:eastAsia="仿宋_GB2312" w:cs="Times New Roman"/>
                <w:color w:val="000000"/>
                <w:szCs w:val="21"/>
              </w:rPr>
              <w:t>0年</w:t>
            </w:r>
          </w:p>
          <w:p>
            <w:pPr>
              <w:ind w:leftChars="-51" w:right="-118" w:rightChars="-56" w:hanging="107" w:hangingChars="51"/>
              <w:jc w:val="left"/>
              <w:rPr>
                <w:rFonts w:hint="default" w:ascii="Times New Roman" w:hAnsi="Times New Roman" w:eastAsia="仿宋_GB2312" w:cs="Times New Roman"/>
                <w:color w:val="000000"/>
                <w:szCs w:val="21"/>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B1937"/>
    <w:rsid w:val="0E7A65F6"/>
    <w:rsid w:val="101D3BC2"/>
    <w:rsid w:val="10BD4DFA"/>
    <w:rsid w:val="11A96DBD"/>
    <w:rsid w:val="167673A1"/>
    <w:rsid w:val="17AA0480"/>
    <w:rsid w:val="188D227F"/>
    <w:rsid w:val="1A0B2C56"/>
    <w:rsid w:val="1E862B6D"/>
    <w:rsid w:val="20D27BC9"/>
    <w:rsid w:val="20ED2229"/>
    <w:rsid w:val="22890C8D"/>
    <w:rsid w:val="28774868"/>
    <w:rsid w:val="2B690EFB"/>
    <w:rsid w:val="2BFB5AF2"/>
    <w:rsid w:val="304C7078"/>
    <w:rsid w:val="35335FA2"/>
    <w:rsid w:val="36061489"/>
    <w:rsid w:val="38BD14D1"/>
    <w:rsid w:val="3FFD173F"/>
    <w:rsid w:val="40231E47"/>
    <w:rsid w:val="40363F40"/>
    <w:rsid w:val="43706132"/>
    <w:rsid w:val="4D052DD4"/>
    <w:rsid w:val="57C844D5"/>
    <w:rsid w:val="596A13D8"/>
    <w:rsid w:val="5AF873B7"/>
    <w:rsid w:val="5D241B5A"/>
    <w:rsid w:val="692A6240"/>
    <w:rsid w:val="6EB83079"/>
    <w:rsid w:val="6F4B3B48"/>
    <w:rsid w:val="761352C3"/>
    <w:rsid w:val="7D0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Administrator</cp:lastModifiedBy>
  <cp:lastPrinted>2020-11-06T01:33:00Z</cp:lastPrinted>
  <dcterms:modified xsi:type="dcterms:W3CDTF">2020-11-09T01:17:20Z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