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惠州市国有建设用地使用权网上挂牌</w:t>
      </w:r>
      <w:r>
        <w:rPr>
          <w:rFonts w:hint="default" w:ascii="Times New Roman" w:hAnsi="Times New Roman" w:eastAsia="方正小标宋_GBK" w:cs="Times New Roman"/>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019</w:t>
      </w:r>
      <w:r>
        <w:rPr>
          <w:rFonts w:hint="eastAsia" w:ascii="仿宋_GB2312" w:eastAsia="仿宋_GB2312"/>
          <w:sz w:val="32"/>
          <w:szCs w:val="32"/>
        </w:rPr>
        <w:t>号</w:t>
      </w:r>
      <w:bookmarkStart w:id="0" w:name="_GoBack"/>
      <w:bookmarkEnd w:id="0"/>
    </w:p>
    <w:p>
      <w:pPr>
        <w:spacing w:line="520" w:lineRule="exact"/>
        <w:ind w:firstLine="360" w:firstLineChars="200"/>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二、网上挂牌竞买时间为2021年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时至2021年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上述两宗地块一并整体挂牌出让，</w:t>
      </w: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lang w:val="en-US" w:eastAsia="zh-CN"/>
        </w:rPr>
        <w:t>179460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r>
        <w:rPr>
          <w:rFonts w:hint="eastAsia" w:ascii="仿宋_GB2312" w:hAnsi="仿宋_GB2312" w:eastAsia="仿宋_GB2312" w:cs="仿宋_GB2312"/>
          <w:kern w:val="2"/>
          <w:sz w:val="32"/>
          <w:szCs w:val="32"/>
        </w:rPr>
        <w:t>。</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五、该宗地竞买保证金可用人民币及外币（暂限于美元、港币）支付。</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六、申请人应具备的其他条件：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缴交竞买保证金</w:t>
      </w:r>
      <w:r>
        <w:rPr>
          <w:rFonts w:hint="eastAsia" w:ascii="仿宋_GB2312" w:hAnsi="仿宋_GB2312" w:eastAsia="仿宋_GB2312" w:cs="仿宋_GB2312"/>
          <w:kern w:val="2"/>
          <w:sz w:val="32"/>
          <w:szCs w:val="32"/>
          <w:highlight w:val="none"/>
          <w:lang w:val="en-US" w:eastAsia="zh-CN"/>
        </w:rPr>
        <w:t>53838</w:t>
      </w:r>
      <w:r>
        <w:rPr>
          <w:rFonts w:hint="eastAsia" w:ascii="仿宋_GB2312" w:hAnsi="仿宋_GB2312" w:eastAsia="仿宋_GB2312" w:cs="仿宋_GB2312"/>
          <w:sz w:val="32"/>
          <w:szCs w:val="32"/>
          <w:highlight w:val="none"/>
        </w:rPr>
        <w:t>万元人民币，如以外币缴交竞买保证金的，须缴交美元</w:t>
      </w:r>
      <w:r>
        <w:rPr>
          <w:rFonts w:hint="eastAsia" w:ascii="仿宋_GB2312" w:hAnsi="仿宋_GB2312" w:eastAsia="仿宋_GB2312" w:cs="仿宋_GB2312"/>
          <w:kern w:val="2"/>
          <w:sz w:val="32"/>
          <w:szCs w:val="32"/>
          <w:highlight w:val="none"/>
          <w:lang w:val="en-US" w:eastAsia="zh-CN"/>
        </w:rPr>
        <w:t>8469</w:t>
      </w:r>
      <w:r>
        <w:rPr>
          <w:rFonts w:hint="eastAsia" w:ascii="仿宋_GB2312" w:hAnsi="仿宋_GB2312" w:eastAsia="仿宋_GB2312" w:cs="仿宋_GB2312"/>
          <w:sz w:val="32"/>
          <w:szCs w:val="32"/>
          <w:highlight w:val="none"/>
        </w:rPr>
        <w:t>万元或港币</w:t>
      </w:r>
      <w:r>
        <w:rPr>
          <w:rFonts w:hint="eastAsia" w:ascii="仿宋_GB2312" w:hAnsi="仿宋_GB2312" w:eastAsia="仿宋_GB2312" w:cs="仿宋_GB2312"/>
          <w:kern w:val="2"/>
          <w:sz w:val="32"/>
          <w:szCs w:val="32"/>
          <w:highlight w:val="none"/>
          <w:lang w:val="en-US" w:eastAsia="zh-CN"/>
        </w:rPr>
        <w:t>65726</w:t>
      </w:r>
      <w:r>
        <w:rPr>
          <w:rFonts w:hint="eastAsia" w:ascii="仿宋_GB2312" w:hAnsi="仿宋_GB2312" w:eastAsia="仿宋_GB2312" w:cs="仿宋_GB2312"/>
          <w:sz w:val="32"/>
          <w:szCs w:val="32"/>
          <w:highlight w:val="none"/>
        </w:rPr>
        <w:t>万元。</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2、存在非法转让土地使用权等违法行为的；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5、至报名日止仍拖欠政府地价款的;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6、被列入问题楼盘开发企业黑名单的;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lang w:val="en-US" w:eastAsia="zh-CN" w:bidi="ar-SA"/>
        </w:rPr>
        <w:t>7、存在其它被禁止竞买土地行为的。</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ww.hzgtjy.com）。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十、申请人应当在网上挂牌出让结束前登陆惠州市公共资源交易中心土地与矿业网上挂牌交易系统并在系统上向惠州市公共资源交易中心提交竞买申请并支付保证金。网上挂牌保证金到账截止时间为2021年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十二、</w:t>
      </w:r>
      <w:r>
        <w:rPr>
          <w:rFonts w:hint="eastAsia" w:ascii="仿宋_GB2312" w:hAnsi="仿宋_GB2312" w:eastAsia="仿宋_GB2312" w:cs="仿宋_GB2312"/>
          <w:sz w:val="32"/>
          <w:szCs w:val="32"/>
          <w:lang w:val="en-US" w:eastAsia="zh-CN"/>
        </w:rPr>
        <w:t>网上挂牌系统确定成交后，竞得人缴纳的竞买保证金按成交价的10%转作定金。如竞买保证金不足以缴纳定金，不足部分在交易系统确定成交之日起5个工作日内补齐；如竞买保证金转作定金后有剩余，余额抵作土地成交价的预付款。竞得人签订《出让合同》后，定金可抵作土地成交价款，余额转作土地成交价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以外币缴交竞买保证金的，扣除定金后余额部分返回给竞得人，待竞得人按时缴清土地成交价款后，再将定金退还，不计利息。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266500</w:t>
      </w:r>
      <w:r>
        <w:rPr>
          <w:rFonts w:hint="eastAsia" w:ascii="仿宋_GB2312" w:hAnsi="仿宋_GB2312" w:eastAsia="仿宋_GB2312" w:cs="仿宋_GB2312"/>
          <w:sz w:val="32"/>
          <w:szCs w:val="32"/>
        </w:rPr>
        <w:t>万元（含地价,不含地价溢价部分）。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w:t>
      </w:r>
      <w:r>
        <w:rPr>
          <w:rFonts w:hint="eastAsia" w:eastAsia="仿宋_GB2312" w:cs="Times New Roman"/>
          <w:kern w:val="2"/>
          <w:sz w:val="32"/>
          <w:szCs w:val="32"/>
          <w:lang w:val="en-US" w:eastAsia="zh-CN"/>
        </w:rPr>
        <w:t>三</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该地属政府储备地，没有法律经济纠纷，具备动工开发所必须的基本条件。</w:t>
      </w:r>
    </w:p>
    <w:p>
      <w:pPr>
        <w:spacing w:line="470" w:lineRule="exact"/>
        <w:ind w:firstLine="627" w:firstLineChars="196"/>
        <w:jc w:val="both"/>
        <w:rPr>
          <w:rFonts w:hint="default"/>
        </w:rPr>
      </w:pPr>
      <w:r>
        <w:rPr>
          <w:rFonts w:hint="default" w:ascii="Times New Roman" w:hAnsi="Times New Roman" w:eastAsia="仿宋_GB2312" w:cs="Times New Roman"/>
          <w:kern w:val="2"/>
          <w:sz w:val="32"/>
          <w:szCs w:val="32"/>
        </w:rPr>
        <w:t>（四）</w:t>
      </w:r>
      <w:r>
        <w:rPr>
          <w:rFonts w:hint="default" w:ascii="Times New Roman" w:hAnsi="Times New Roman" w:eastAsia="仿宋_GB2312" w:cs="Times New Roman"/>
          <w:kern w:val="2"/>
          <w:sz w:val="32"/>
          <w:szCs w:val="32"/>
          <w:lang w:val="en-US" w:eastAsia="zh-CN"/>
        </w:rPr>
        <w:t>竞得人需按</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规划设计条件告知书</w:t>
      </w:r>
      <w:r>
        <w:rPr>
          <w:rFonts w:hint="default" w:ascii="Times New Roman" w:hAnsi="Times New Roman" w:eastAsia="仿宋_GB2312" w:cs="Times New Roman"/>
          <w:kern w:val="2"/>
          <w:sz w:val="32"/>
          <w:szCs w:val="32"/>
        </w:rPr>
        <w:t>》</w:t>
      </w:r>
      <w:r>
        <w:rPr>
          <w:rFonts w:hint="eastAsia" w:ascii="仿宋_GB2312" w:hAnsi="仿宋_GB2312" w:eastAsia="仿宋_GB2312" w:cs="仿宋_GB2312"/>
          <w:kern w:val="2"/>
          <w:sz w:val="32"/>
          <w:szCs w:val="32"/>
          <w:lang w:val="en-US" w:eastAsia="zh-CN" w:bidi="ar-SA"/>
        </w:rPr>
        <w:t>（案卷编号：PB20210010）</w:t>
      </w:r>
      <w:r>
        <w:rPr>
          <w:rFonts w:hint="default" w:ascii="Times New Roman" w:hAnsi="Times New Roman" w:eastAsia="仿宋_GB2312" w:cs="Times New Roman"/>
          <w:kern w:val="2"/>
          <w:sz w:val="32"/>
          <w:szCs w:val="32"/>
          <w:lang w:val="en-US" w:eastAsia="zh-CN"/>
        </w:rPr>
        <w:t>要求配建相关配套设施。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（五）竞得人在用地红线内开发建设必须符合城市规划要求，必须按《</w:t>
      </w:r>
      <w:r>
        <w:rPr>
          <w:rFonts w:hint="eastAsia" w:eastAsia="仿宋_GB2312" w:cs="Times New Roman"/>
          <w:kern w:val="2"/>
          <w:sz w:val="32"/>
          <w:szCs w:val="32"/>
          <w:lang w:val="en-US" w:eastAsia="zh-CN"/>
        </w:rPr>
        <w:t>规划设计条件告知书</w:t>
      </w:r>
      <w:r>
        <w:rPr>
          <w:rFonts w:hint="eastAsia" w:ascii="仿宋_GB2312" w:hAnsi="仿宋_GB2312" w:eastAsia="仿宋_GB2312" w:cs="仿宋_GB2312"/>
          <w:kern w:val="2"/>
          <w:sz w:val="32"/>
          <w:szCs w:val="32"/>
          <w:lang w:val="en-US" w:eastAsia="zh-CN" w:bidi="ar-SA"/>
        </w:rPr>
        <w:t>》（案卷编号：PB20210010）规划控制指标要求及有关规定进行规划设计。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JD10-01地块内配套幼儿园应与JD10-01、03地块同步规划设计、同步建设、同步验收交付使用，如JD10-01、03地块分期建设，该幼儿园应纳入首期工程，在办理用地供地手续时，应将整个地块办理出让手续，在出让合同中明确由JD10-01、03地块使用权者负责按照规划要求和惠城区教育局提出的建设标准完成配套幼儿园建设并无偿移交</w:t>
      </w:r>
      <w:r>
        <w:rPr>
          <w:rFonts w:hint="eastAsia" w:ascii="仿宋_GB2312" w:hAnsi="仿宋_GB2312" w:eastAsia="仿宋_GB2312" w:cs="仿宋_GB2312"/>
          <w:kern w:val="2"/>
          <w:sz w:val="32"/>
          <w:szCs w:val="32"/>
          <w:highlight w:val="none"/>
          <w:lang w:val="en-US" w:eastAsia="zh-CN" w:bidi="ar-SA"/>
        </w:rPr>
        <w:t>惠城区教育局。</w:t>
      </w:r>
      <w:r>
        <w:rPr>
          <w:rFonts w:hint="eastAsia" w:ascii="仿宋_GB2312" w:hAnsi="仿宋_GB2312" w:eastAsia="仿宋_GB2312" w:cs="仿宋_GB2312"/>
          <w:kern w:val="2"/>
          <w:sz w:val="32"/>
          <w:szCs w:val="32"/>
          <w:highlight w:val="none"/>
          <w:lang w:val="en-US" w:eastAsia="zh-CN"/>
        </w:rPr>
        <w:t>不动产登记部门在办理分割登记时，将幼儿园办至惠城区教育局名下，用途为教育用地，使用权类型为划拨。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rPr>
        <w:t>（七）</w:t>
      </w:r>
      <w:r>
        <w:rPr>
          <w:rFonts w:hint="eastAsia" w:ascii="仿宋_GB2312" w:hAnsi="仿宋_GB2312" w:eastAsia="仿宋_GB2312" w:cs="仿宋_GB2312"/>
          <w:kern w:val="2"/>
          <w:sz w:val="32"/>
          <w:szCs w:val="32"/>
          <w:highlight w:val="none"/>
        </w:rPr>
        <w:t>取得JD10-01、03地块土地使用权者须按规划要求承担JD10-01、02、03地块西南侧惠大高速至四环南路的规划9米宽道路，JD10-01、02地块间和JD10-02、03地块间泰安路至马安河的规划21米宽道路，以及JD10-01地块西侧泰安路至马安河东北侧规划9米宽道路间的规划18.5米宽惠大高速辅道共计4条道路（包括雨水管、污水管、电力电缆沟及通信电缆沟）的建设，建成后无偿交给政府相关部门，并将道路开放给公众使用</w:t>
      </w:r>
      <w:r>
        <w:rPr>
          <w:rFonts w:hint="eastAsia" w:ascii="仿宋_GB2312" w:hAnsi="仿宋_GB2312" w:eastAsia="仿宋_GB2312" w:cs="仿宋_GB2312"/>
          <w:kern w:val="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八</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JD10-01、02、03地块所涉及的现状10KV架空线、10KV电缆须由取得JD10-01、03地块土地使用权者按供电部门要求负责迁移，JD10-01地块完成迁移后方可建设</w:t>
      </w:r>
      <w:r>
        <w:rPr>
          <w:rFonts w:hint="eastAsia" w:ascii="仿宋_GB2312" w:hAnsi="仿宋_GB2312" w:eastAsia="仿宋_GB2312" w:cs="仿宋_GB2312"/>
          <w:kern w:val="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九</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为保证滨水界面的视觉通透性和公共开敞空间，并营造优美的建筑天际线。建筑布局应将低矮、小尺度的建筑临水布置，较高的大体量建筑远水布置，形成从内陆到滨水层次鲜明、高低跌落的连续景观界面。滨水建筑应开敞通透，避免建设对景观遮挡严重的板式建筑，滨水地块的建筑间口率（建筑总面宽/基地滨水面宽）应控制在50%以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十</w:t>
      </w:r>
      <w:r>
        <w:rPr>
          <w:rFonts w:hint="eastAsia" w:ascii="仿宋_GB2312" w:hAnsi="仿宋_GB2312" w:eastAsia="仿宋_GB2312" w:cs="仿宋_GB2312"/>
          <w:kern w:val="2"/>
          <w:sz w:val="32"/>
          <w:szCs w:val="32"/>
          <w:highlight w:val="none"/>
          <w:lang w:eastAsia="zh-CN"/>
        </w:rPr>
        <w:t>）JD10-02地块九年一贯制学校</w:t>
      </w:r>
      <w:r>
        <w:rPr>
          <w:rFonts w:hint="eastAsia" w:ascii="仿宋_GB2312" w:hAnsi="仿宋_GB2312" w:eastAsia="仿宋_GB2312" w:cs="仿宋_GB2312"/>
          <w:kern w:val="2"/>
          <w:sz w:val="32"/>
          <w:szCs w:val="32"/>
          <w:highlight w:val="none"/>
          <w:lang w:val="en-US" w:eastAsia="zh-CN"/>
        </w:rPr>
        <w:t>应</w:t>
      </w:r>
      <w:r>
        <w:rPr>
          <w:rFonts w:hint="eastAsia" w:ascii="仿宋_GB2312" w:hAnsi="仿宋_GB2312" w:eastAsia="仿宋_GB2312" w:cs="仿宋_GB2312"/>
          <w:kern w:val="2"/>
          <w:sz w:val="32"/>
          <w:szCs w:val="32"/>
          <w:highlight w:val="none"/>
        </w:rPr>
        <w:t>与JD10-01、03地块同步规划设计、同步建设、同步验收交付使用，如JD10-01、03地块分期建设，该</w:t>
      </w:r>
      <w:r>
        <w:rPr>
          <w:rFonts w:hint="eastAsia" w:ascii="仿宋_GB2312" w:hAnsi="仿宋_GB2312" w:eastAsia="仿宋_GB2312" w:cs="仿宋_GB2312"/>
          <w:kern w:val="2"/>
          <w:sz w:val="32"/>
          <w:szCs w:val="32"/>
          <w:highlight w:val="none"/>
          <w:lang w:eastAsia="zh-CN"/>
        </w:rPr>
        <w:t>九年一贯制学校</w:t>
      </w:r>
      <w:r>
        <w:rPr>
          <w:rFonts w:hint="eastAsia" w:ascii="仿宋_GB2312" w:hAnsi="仿宋_GB2312" w:eastAsia="仿宋_GB2312" w:cs="仿宋_GB2312"/>
          <w:kern w:val="2"/>
          <w:sz w:val="32"/>
          <w:szCs w:val="32"/>
          <w:highlight w:val="none"/>
        </w:rPr>
        <w:t>应纳入首期工程</w:t>
      </w:r>
      <w:r>
        <w:rPr>
          <w:rFonts w:hint="eastAsia" w:ascii="仿宋_GB2312" w:hAnsi="仿宋_GB2312" w:eastAsia="仿宋_GB2312" w:cs="仿宋_GB2312"/>
          <w:kern w:val="2"/>
          <w:sz w:val="32"/>
          <w:szCs w:val="32"/>
          <w:highlight w:val="none"/>
          <w:lang w:eastAsia="zh-CN"/>
        </w:rPr>
        <w:t>，由取得JD10-01、03地块使用权者负责建设，并无偿移交惠城区教育局；学校操场下根据规划须配建两层停车库，提供社会公共停车位不少于750个，建成后无偿交给政府相关部门。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）竞得人有下列行为之一的，视为违约，取消竞得人资格，</w:t>
      </w:r>
      <w:r>
        <w:rPr>
          <w:rFonts w:hint="eastAsia" w:ascii="仿宋_GB2312" w:hAnsi="仿宋_GB2312" w:eastAsia="仿宋_GB2312" w:cs="仿宋_GB2312"/>
          <w:sz w:val="32"/>
          <w:szCs w:val="32"/>
          <w:lang w:val="en-US" w:eastAsia="zh-CN"/>
        </w:rPr>
        <w:t>定金不予退还</w:t>
      </w:r>
      <w:r>
        <w:rPr>
          <w:rFonts w:hint="eastAsia" w:ascii="仿宋_GB2312" w:hAnsi="仿宋_GB2312" w:eastAsia="仿宋_GB2312" w:cs="仿宋_GB2312"/>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联系地址：惠州市</w:t>
      </w:r>
      <w:r>
        <w:rPr>
          <w:rFonts w:hint="eastAsia" w:ascii="仿宋_GB2312" w:hAnsi="仿宋_GB2312" w:eastAsia="仿宋_GB2312" w:cs="仿宋_GB2312"/>
          <w:sz w:val="32"/>
          <w:szCs w:val="32"/>
          <w:lang w:val="en-US" w:eastAsia="zh-CN"/>
        </w:rPr>
        <w:t>江北三新南路7号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黄小姐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2896313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）惠州市公共资源交易中心</w:t>
      </w:r>
    </w:p>
    <w:p>
      <w:pPr>
        <w:keepNext w:val="0"/>
        <w:keepLines w:val="0"/>
        <w:pageBreakBefore w:val="0"/>
        <w:widowControl w:val="0"/>
        <w:tabs>
          <w:tab w:val="left" w:pos="720"/>
          <w:tab w:val="left" w:pos="4680"/>
        </w:tabs>
        <w:kinsoku/>
        <w:wordWrap/>
        <w:overflowPunct/>
        <w:topLinePunct w:val="0"/>
        <w:autoSpaceDE/>
        <w:autoSpaceDN/>
        <w:bidi w:val="0"/>
        <w:spacing w:line="560" w:lineRule="exact"/>
        <w:ind w:left="4318" w:leftChars="304" w:right="-756" w:rightChars="-360" w:hanging="3680" w:hangingChars="11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w:t>
      </w:r>
    </w:p>
    <w:p>
      <w:pPr>
        <w:keepNext w:val="0"/>
        <w:keepLines w:val="0"/>
        <w:pageBreakBefore w:val="0"/>
        <w:widowControl w:val="0"/>
        <w:tabs>
          <w:tab w:val="left" w:pos="720"/>
          <w:tab w:val="left" w:pos="4680"/>
        </w:tabs>
        <w:kinsoku/>
        <w:wordWrap/>
        <w:overflowPunct/>
        <w:topLinePunct w:val="0"/>
        <w:autoSpaceDE/>
        <w:autoSpaceDN/>
        <w:bidi w:val="0"/>
        <w:spacing w:line="560" w:lineRule="exact"/>
        <w:ind w:right="-756" w:rightChars="-3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务中心3号楼</w:t>
      </w:r>
    </w:p>
    <w:p>
      <w:pPr>
        <w:keepNext w:val="0"/>
        <w:keepLines w:val="0"/>
        <w:pageBreakBefore w:val="0"/>
        <w:widowControl w:val="0"/>
        <w:tabs>
          <w:tab w:val="left" w:pos="720"/>
          <w:tab w:val="left" w:pos="4680"/>
        </w:tabs>
        <w:kinsoku/>
        <w:wordWrap/>
        <w:overflowPunct/>
        <w:topLinePunct w:val="0"/>
        <w:autoSpaceDE/>
        <w:autoSpaceDN/>
        <w:bidi w:val="0"/>
        <w:spacing w:line="560" w:lineRule="exact"/>
        <w:ind w:right="-756" w:rightChars="-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17" w:leftChars="8"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数字证书办理地址：惠州市江北云山西路二号帝景国际商务中心七层18-22房。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firstLine="5033" w:firstLineChars="1573"/>
        <w:rPr>
          <w:rFonts w:hint="default" w:ascii="Times New Roman" w:hAnsi="Times New Roman" w:eastAsia="仿宋_GB2312" w:cs="Times New Roman"/>
          <w:sz w:val="32"/>
          <w:szCs w:val="32"/>
        </w:rPr>
      </w:pPr>
    </w:p>
    <w:p>
      <w:pPr>
        <w:spacing w:line="520" w:lineRule="exact"/>
        <w:ind w:right="640" w:firstLine="5033" w:firstLineChars="1573"/>
        <w:rPr>
          <w:rFonts w:hint="default" w:ascii="Times New Roman" w:hAnsi="Times New Roman" w:eastAsia="仿宋_GB2312" w:cs="Times New Roman"/>
          <w:sz w:val="32"/>
          <w:szCs w:val="32"/>
        </w:rPr>
      </w:pPr>
    </w:p>
    <w:p>
      <w:pPr>
        <w:spacing w:line="520" w:lineRule="exact"/>
        <w:ind w:right="640" w:firstLine="5033" w:firstLineChars="157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惠州市自然资源局</w:t>
      </w:r>
    </w:p>
    <w:p>
      <w:pPr>
        <w:spacing w:line="520" w:lineRule="exact"/>
        <w:ind w:right="640" w:firstLine="4640" w:firstLineChars="14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惠州市公共资源交易中心</w:t>
      </w:r>
    </w:p>
    <w:p>
      <w:pPr>
        <w:pStyle w:val="2"/>
        <w:ind w:firstLine="5120" w:firstLineChars="160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2021年7月6日</w:t>
      </w:r>
    </w:p>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附表</w:t>
      </w:r>
    </w:p>
    <w:p>
      <w:pPr>
        <w:tabs>
          <w:tab w:val="left" w:pos="9720"/>
        </w:tabs>
        <w:spacing w:line="360" w:lineRule="auto"/>
        <w:jc w:val="center"/>
        <w:rPr>
          <w:rFonts w:hint="default" w:ascii="Times New Roman" w:hAnsi="Times New Roman" w:eastAsia="方正小标宋_GBK" w:cs="Times New Roman"/>
          <w:b/>
          <w:sz w:val="36"/>
          <w:szCs w:val="36"/>
        </w:rPr>
      </w:pPr>
      <w:r>
        <w:rPr>
          <w:rFonts w:hint="default" w:ascii="Times New Roman" w:hAnsi="Times New Roman" w:eastAsia="方正小标宋_GBK" w:cs="Times New Roman"/>
          <w:b/>
          <w:sz w:val="36"/>
          <w:szCs w:val="36"/>
        </w:rPr>
        <w:t>网上挂牌出让地块规划建设指标</w:t>
      </w:r>
    </w:p>
    <w:tbl>
      <w:tblPr>
        <w:tblStyle w:val="9"/>
        <w:tblpPr w:leftFromText="180" w:rightFromText="180" w:vertAnchor="text" w:tblpXSpec="center" w:tblpY="1"/>
        <w:tblOverlap w:val="never"/>
        <w:tblW w:w="9436"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60"/>
        <w:gridCol w:w="600"/>
        <w:gridCol w:w="705"/>
        <w:gridCol w:w="705"/>
        <w:gridCol w:w="735"/>
        <w:gridCol w:w="630"/>
        <w:gridCol w:w="1125"/>
        <w:gridCol w:w="712"/>
        <w:gridCol w:w="593"/>
        <w:gridCol w:w="825"/>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46"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挂牌地块编号</w:t>
            </w:r>
          </w:p>
        </w:tc>
        <w:tc>
          <w:tcPr>
            <w:tcW w:w="660"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土地</w:t>
            </w:r>
          </w:p>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位置</w:t>
            </w:r>
          </w:p>
        </w:tc>
        <w:tc>
          <w:tcPr>
            <w:tcW w:w="600"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规划编号</w:t>
            </w:r>
          </w:p>
        </w:tc>
        <w:tc>
          <w:tcPr>
            <w:tcW w:w="705"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土地</w:t>
            </w:r>
          </w:p>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用途</w:t>
            </w:r>
          </w:p>
        </w:tc>
        <w:tc>
          <w:tcPr>
            <w:tcW w:w="6825" w:type="dxa"/>
            <w:gridSpan w:val="9"/>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规划指标要求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646" w:type="dxa"/>
            <w:vMerge w:val="continue"/>
            <w:vAlign w:val="center"/>
          </w:tcPr>
          <w:p>
            <w:pPr>
              <w:spacing w:line="320" w:lineRule="exact"/>
              <w:jc w:val="center"/>
              <w:rPr>
                <w:rFonts w:hint="default" w:ascii="Times New Roman" w:hAnsi="Times New Roman" w:eastAsia="仿宋_GB2312" w:cs="Times New Roman"/>
                <w:b/>
                <w:bCs/>
                <w:szCs w:val="21"/>
              </w:rPr>
            </w:pPr>
          </w:p>
        </w:tc>
        <w:tc>
          <w:tcPr>
            <w:tcW w:w="660" w:type="dxa"/>
            <w:vMerge w:val="continue"/>
            <w:vAlign w:val="center"/>
          </w:tcPr>
          <w:p>
            <w:pPr>
              <w:spacing w:line="320" w:lineRule="exact"/>
              <w:jc w:val="center"/>
              <w:rPr>
                <w:rFonts w:hint="default" w:ascii="Times New Roman" w:hAnsi="Times New Roman" w:eastAsia="仿宋_GB2312" w:cs="Times New Roman"/>
                <w:b/>
                <w:bCs/>
                <w:szCs w:val="21"/>
              </w:rPr>
            </w:pPr>
          </w:p>
        </w:tc>
        <w:tc>
          <w:tcPr>
            <w:tcW w:w="600" w:type="dxa"/>
            <w:vMerge w:val="continue"/>
            <w:vAlign w:val="center"/>
          </w:tcPr>
          <w:p>
            <w:pPr>
              <w:spacing w:line="320" w:lineRule="exact"/>
              <w:jc w:val="center"/>
              <w:rPr>
                <w:rFonts w:hint="default" w:ascii="Times New Roman" w:hAnsi="Times New Roman" w:eastAsia="仿宋_GB2312" w:cs="Times New Roman"/>
                <w:b/>
                <w:bCs/>
                <w:szCs w:val="21"/>
              </w:rPr>
            </w:pPr>
          </w:p>
        </w:tc>
        <w:tc>
          <w:tcPr>
            <w:tcW w:w="705" w:type="dxa"/>
            <w:vMerge w:val="continue"/>
            <w:vAlign w:val="center"/>
          </w:tcPr>
          <w:p>
            <w:pPr>
              <w:spacing w:line="320" w:lineRule="exact"/>
              <w:jc w:val="center"/>
              <w:rPr>
                <w:rFonts w:hint="default" w:ascii="Times New Roman" w:hAnsi="Times New Roman" w:eastAsia="仿宋_GB2312" w:cs="Times New Roman"/>
                <w:b/>
                <w:bCs/>
                <w:szCs w:val="21"/>
              </w:rPr>
            </w:pPr>
          </w:p>
        </w:tc>
        <w:tc>
          <w:tcPr>
            <w:tcW w:w="705" w:type="dxa"/>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计算指标用地面积（㎡）</w:t>
            </w:r>
          </w:p>
        </w:tc>
        <w:tc>
          <w:tcPr>
            <w:tcW w:w="735" w:type="dxa"/>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宗地使用权面积（㎡）</w:t>
            </w:r>
          </w:p>
        </w:tc>
        <w:tc>
          <w:tcPr>
            <w:tcW w:w="630" w:type="dxa"/>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容积率（％）</w:t>
            </w:r>
          </w:p>
        </w:tc>
        <w:tc>
          <w:tcPr>
            <w:tcW w:w="1125" w:type="dxa"/>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计容积率建筑面积（㎡）</w:t>
            </w:r>
          </w:p>
        </w:tc>
        <w:tc>
          <w:tcPr>
            <w:tcW w:w="712" w:type="dxa"/>
            <w:vAlign w:val="center"/>
          </w:tcPr>
          <w:p>
            <w:pPr>
              <w:spacing w:line="320" w:lineRule="exact"/>
              <w:jc w:val="center"/>
              <w:rPr>
                <w:rFonts w:hint="eastAsia" w:ascii="Times New Roman" w:hAnsi="Times New Roman" w:eastAsia="仿宋_GB2312" w:cs="Times New Roman"/>
                <w:b/>
                <w:bCs/>
                <w:szCs w:val="21"/>
                <w:lang w:eastAsia="zh-CN"/>
              </w:rPr>
            </w:pPr>
            <w:r>
              <w:rPr>
                <w:rFonts w:hint="default" w:ascii="Times New Roman" w:hAnsi="Times New Roman" w:eastAsia="仿宋_GB2312" w:cs="Times New Roman"/>
                <w:b/>
                <w:bCs/>
                <w:szCs w:val="21"/>
                <w:lang w:val="en-US" w:eastAsia="zh-CN"/>
              </w:rPr>
              <w:t>建设密度</w:t>
            </w:r>
            <w:r>
              <w:rPr>
                <w:rFonts w:hint="eastAsia" w:ascii="Times New Roman" w:hAnsi="Times New Roman" w:eastAsia="仿宋_GB2312" w:cs="Times New Roman"/>
                <w:b/>
                <w:bCs/>
                <w:szCs w:val="21"/>
                <w:lang w:val="en-US" w:eastAsia="zh-CN"/>
              </w:rPr>
              <w:t>（</w:t>
            </w:r>
            <w:r>
              <w:rPr>
                <w:rFonts w:hint="eastAsia" w:ascii="Times New Roman" w:hAnsi="Times New Roman" w:eastAsia="仿宋_GB2312" w:cs="Times New Roman"/>
                <w:b/>
                <w:bCs/>
                <w:szCs w:val="21"/>
              </w:rPr>
              <w:t>%</w:t>
            </w:r>
            <w:r>
              <w:rPr>
                <w:rFonts w:hint="eastAsia" w:ascii="Times New Roman" w:hAnsi="Times New Roman" w:eastAsia="仿宋_GB2312" w:cs="Times New Roman"/>
                <w:b/>
                <w:bCs/>
                <w:szCs w:val="21"/>
                <w:lang w:eastAsia="zh-CN"/>
              </w:rPr>
              <w:t>）</w:t>
            </w:r>
          </w:p>
        </w:tc>
        <w:tc>
          <w:tcPr>
            <w:tcW w:w="593" w:type="dxa"/>
            <w:vAlign w:val="center"/>
          </w:tcPr>
          <w:p>
            <w:pPr>
              <w:spacing w:line="320" w:lineRule="exact"/>
              <w:jc w:val="center"/>
              <w:rPr>
                <w:rFonts w:hint="default" w:ascii="Times New Roman" w:hAnsi="Times New Roman" w:eastAsia="仿宋_GB2312" w:cs="Times New Roman"/>
                <w:b/>
                <w:bCs/>
                <w:szCs w:val="21"/>
                <w:lang w:val="en-US" w:eastAsia="zh-CN"/>
              </w:rPr>
            </w:pPr>
            <w:r>
              <w:rPr>
                <w:rFonts w:hint="eastAsia" w:ascii="Times New Roman" w:hAnsi="Times New Roman" w:eastAsia="仿宋_GB2312" w:cs="Times New Roman"/>
                <w:b/>
                <w:bCs/>
                <w:szCs w:val="21"/>
                <w:lang w:val="en-US" w:eastAsia="zh-CN"/>
              </w:rPr>
              <w:t>绿地</w:t>
            </w:r>
            <w:r>
              <w:rPr>
                <w:rFonts w:hint="default" w:ascii="Times New Roman" w:hAnsi="Times New Roman" w:eastAsia="仿宋_GB2312" w:cs="Times New Roman"/>
                <w:b/>
                <w:bCs/>
                <w:szCs w:val="21"/>
              </w:rPr>
              <w:t>率</w:t>
            </w:r>
            <w:r>
              <w:rPr>
                <w:rFonts w:hint="eastAsia" w:ascii="Times New Roman" w:hAnsi="Times New Roman" w:eastAsia="仿宋_GB2312" w:cs="Times New Roman"/>
                <w:b/>
                <w:bCs/>
                <w:szCs w:val="21"/>
                <w:lang w:eastAsia="zh-CN"/>
              </w:rPr>
              <w:t>（</w:t>
            </w:r>
            <w:r>
              <w:rPr>
                <w:rFonts w:hint="eastAsia" w:ascii="Times New Roman" w:hAnsi="Times New Roman" w:eastAsia="仿宋_GB2312" w:cs="Times New Roman"/>
                <w:b/>
                <w:bCs/>
                <w:szCs w:val="21"/>
                <w:lang w:val="en-US" w:eastAsia="zh-CN"/>
              </w:rPr>
              <w:t>%）</w:t>
            </w:r>
          </w:p>
        </w:tc>
        <w:tc>
          <w:tcPr>
            <w:tcW w:w="825" w:type="dxa"/>
            <w:vAlign w:val="center"/>
          </w:tcPr>
          <w:p>
            <w:pPr>
              <w:spacing w:line="32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机动车停车位</w:t>
            </w:r>
          </w:p>
        </w:tc>
        <w:tc>
          <w:tcPr>
            <w:tcW w:w="750" w:type="dxa"/>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适建性</w:t>
            </w:r>
          </w:p>
        </w:tc>
        <w:tc>
          <w:tcPr>
            <w:tcW w:w="750" w:type="dxa"/>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6" w:hRule="atLeast"/>
        </w:trPr>
        <w:tc>
          <w:tcPr>
            <w:tcW w:w="646" w:type="dxa"/>
            <w:vMerge w:val="restart"/>
            <w:tcMar>
              <w:left w:w="0" w:type="dxa"/>
              <w:right w:w="0" w:type="dxa"/>
            </w:tcMar>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GP2021</w:t>
            </w:r>
          </w:p>
          <w:p>
            <w:pPr>
              <w:spacing w:line="30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-19</w:t>
            </w:r>
          </w:p>
        </w:tc>
        <w:tc>
          <w:tcPr>
            <w:tcW w:w="660" w:type="dxa"/>
            <w:vMerge w:val="restart"/>
            <w:vAlign w:val="center"/>
          </w:tcPr>
          <w:p>
            <w:pPr>
              <w:spacing w:line="30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惠城区马安新群上寮JD10-01、JD10-03地块</w:t>
            </w:r>
          </w:p>
        </w:tc>
        <w:tc>
          <w:tcPr>
            <w:tcW w:w="600"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JD10-01</w:t>
            </w:r>
          </w:p>
        </w:tc>
        <w:tc>
          <w:tcPr>
            <w:tcW w:w="705" w:type="dxa"/>
            <w:tcMar>
              <w:left w:w="0" w:type="dxa"/>
              <w:right w:w="0" w:type="dxa"/>
            </w:tcMar>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城镇住宅及商服用地</w:t>
            </w:r>
          </w:p>
        </w:tc>
        <w:tc>
          <w:tcPr>
            <w:tcW w:w="705"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48153.06</w:t>
            </w:r>
          </w:p>
        </w:tc>
        <w:tc>
          <w:tcPr>
            <w:tcW w:w="735"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37626.55</w:t>
            </w:r>
          </w:p>
        </w:tc>
        <w:tc>
          <w:tcPr>
            <w:tcW w:w="630"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≤3.0</w:t>
            </w:r>
          </w:p>
        </w:tc>
        <w:tc>
          <w:tcPr>
            <w:tcW w:w="1125"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≤144459㎡（商业建筑面积的比例≤5%，配套设施的建筑面积＞6330㎡）</w:t>
            </w:r>
          </w:p>
        </w:tc>
        <w:tc>
          <w:tcPr>
            <w:tcW w:w="712"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default" w:ascii="仿宋_GB2312" w:hAnsi="仿宋_GB2312" w:eastAsia="仿宋_GB2312" w:cs="仿宋_GB2312"/>
                <w:color w:val="000000"/>
                <w:szCs w:val="21"/>
                <w:lang w:val="en-US" w:eastAsia="zh-CN"/>
              </w:rPr>
              <w:t>≤30%（其中住宅建筑净密度≤22%）</w:t>
            </w:r>
          </w:p>
        </w:tc>
        <w:tc>
          <w:tcPr>
            <w:tcW w:w="593" w:type="dxa"/>
            <w:vAlign w:val="center"/>
          </w:tcPr>
          <w:p>
            <w:pPr>
              <w:spacing w:line="30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≥35</w:t>
            </w:r>
          </w:p>
        </w:tc>
        <w:tc>
          <w:tcPr>
            <w:tcW w:w="825"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住宅和商业每100㎡计容积率建筑面积≥1个；幼儿园每100㎡计容积率建筑面积≥0.3个</w:t>
            </w:r>
          </w:p>
        </w:tc>
        <w:tc>
          <w:tcPr>
            <w:tcW w:w="750"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住宅、商业、幼儿园及配套设施</w:t>
            </w:r>
          </w:p>
        </w:tc>
        <w:tc>
          <w:tcPr>
            <w:tcW w:w="750"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城镇住宅用地70年，商服用地40年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6" w:hRule="atLeast"/>
        </w:trPr>
        <w:tc>
          <w:tcPr>
            <w:tcW w:w="646" w:type="dxa"/>
            <w:vMerge w:val="continue"/>
            <w:tcMar>
              <w:left w:w="0" w:type="dxa"/>
              <w:right w:w="0" w:type="dxa"/>
            </w:tcMar>
            <w:vAlign w:val="center"/>
          </w:tcPr>
          <w:p>
            <w:pPr>
              <w:spacing w:line="300" w:lineRule="exact"/>
              <w:jc w:val="center"/>
              <w:rPr>
                <w:rFonts w:hint="eastAsia" w:ascii="仿宋_GB2312" w:hAnsi="仿宋_GB2312" w:eastAsia="仿宋_GB2312" w:cs="仿宋_GB2312"/>
                <w:color w:val="000000"/>
                <w:szCs w:val="21"/>
                <w:lang w:val="en-US" w:eastAsia="zh-CN"/>
              </w:rPr>
            </w:pPr>
          </w:p>
        </w:tc>
        <w:tc>
          <w:tcPr>
            <w:tcW w:w="660" w:type="dxa"/>
            <w:vMerge w:val="continue"/>
            <w:vAlign w:val="center"/>
          </w:tcPr>
          <w:p>
            <w:pPr>
              <w:spacing w:line="300" w:lineRule="exact"/>
              <w:jc w:val="center"/>
              <w:rPr>
                <w:rFonts w:hint="eastAsia" w:ascii="仿宋_GB2312" w:hAnsi="仿宋_GB2312" w:eastAsia="仿宋_GB2312" w:cs="仿宋_GB2312"/>
                <w:color w:val="000000"/>
                <w:szCs w:val="21"/>
                <w:lang w:val="en-US" w:eastAsia="zh-CN"/>
              </w:rPr>
            </w:pPr>
          </w:p>
        </w:tc>
        <w:tc>
          <w:tcPr>
            <w:tcW w:w="600"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JD10-03</w:t>
            </w:r>
          </w:p>
        </w:tc>
        <w:tc>
          <w:tcPr>
            <w:tcW w:w="705" w:type="dxa"/>
            <w:tcMar>
              <w:left w:w="0" w:type="dxa"/>
              <w:right w:w="0" w:type="dxa"/>
            </w:tcMar>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城镇住宅及商服用地</w:t>
            </w:r>
          </w:p>
        </w:tc>
        <w:tc>
          <w:tcPr>
            <w:tcW w:w="705"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48498.28</w:t>
            </w:r>
          </w:p>
        </w:tc>
        <w:tc>
          <w:tcPr>
            <w:tcW w:w="735"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35004.73</w:t>
            </w:r>
          </w:p>
        </w:tc>
        <w:tc>
          <w:tcPr>
            <w:tcW w:w="630"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≤3.0</w:t>
            </w:r>
          </w:p>
        </w:tc>
        <w:tc>
          <w:tcPr>
            <w:tcW w:w="1125"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≤145494㎡（其中商业建筑面积的比例</w:t>
            </w:r>
            <w:r>
              <w:rPr>
                <w:rFonts w:hint="default" w:ascii="仿宋_GB2312" w:hAnsi="仿宋_GB2312" w:eastAsia="仿宋_GB2312" w:cs="仿宋_GB2312"/>
                <w:color w:val="000000"/>
                <w:szCs w:val="21"/>
                <w:lang w:val="en-US" w:eastAsia="zh-CN"/>
              </w:rPr>
              <w:t>＜</w:t>
            </w:r>
            <w:r>
              <w:rPr>
                <w:rFonts w:hint="eastAsia" w:ascii="仿宋_GB2312" w:hAnsi="仿宋_GB2312" w:eastAsia="仿宋_GB2312" w:cs="仿宋_GB2312"/>
                <w:color w:val="000000"/>
                <w:szCs w:val="21"/>
                <w:lang w:val="en-US" w:eastAsia="zh-CN"/>
              </w:rPr>
              <w:t>20%（不得建设服务型公寓），住宅建筑面积</w:t>
            </w:r>
            <w:r>
              <w:rPr>
                <w:rFonts w:hint="default" w:ascii="仿宋_GB2312" w:hAnsi="仿宋_GB2312" w:eastAsia="仿宋_GB2312" w:cs="仿宋_GB2312"/>
                <w:color w:val="000000"/>
                <w:szCs w:val="21"/>
                <w:lang w:val="en-US" w:eastAsia="zh-CN"/>
              </w:rPr>
              <w:t>＜</w:t>
            </w:r>
            <w:r>
              <w:rPr>
                <w:rFonts w:hint="eastAsia" w:ascii="仿宋_GB2312" w:hAnsi="仿宋_GB2312" w:eastAsia="仿宋_GB2312" w:cs="仿宋_GB2312"/>
                <w:color w:val="000000"/>
                <w:szCs w:val="21"/>
                <w:lang w:val="en-US" w:eastAsia="zh-CN"/>
              </w:rPr>
              <w:t>116395㎡，配套设施的建筑面积＞4800㎡）</w:t>
            </w:r>
          </w:p>
        </w:tc>
        <w:tc>
          <w:tcPr>
            <w:tcW w:w="712"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default" w:ascii="仿宋_GB2312" w:hAnsi="仿宋_GB2312" w:eastAsia="仿宋_GB2312" w:cs="仿宋_GB2312"/>
                <w:color w:val="000000"/>
                <w:szCs w:val="21"/>
                <w:lang w:val="en-US" w:eastAsia="zh-CN"/>
              </w:rPr>
              <w:t>≤30%（其中住宅建筑净密度≤22%）</w:t>
            </w:r>
          </w:p>
        </w:tc>
        <w:tc>
          <w:tcPr>
            <w:tcW w:w="593" w:type="dxa"/>
            <w:vAlign w:val="center"/>
          </w:tcPr>
          <w:p>
            <w:pPr>
              <w:spacing w:line="30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≥35</w:t>
            </w:r>
          </w:p>
        </w:tc>
        <w:tc>
          <w:tcPr>
            <w:tcW w:w="825"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住宅和商业每100㎡计容建筑面积≥1个</w:t>
            </w:r>
          </w:p>
        </w:tc>
        <w:tc>
          <w:tcPr>
            <w:tcW w:w="750"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住宅、商业及配套设施</w:t>
            </w:r>
          </w:p>
        </w:tc>
        <w:tc>
          <w:tcPr>
            <w:tcW w:w="750"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城镇住宅用地70年，商服用地40年</w:t>
            </w:r>
          </w:p>
        </w:tc>
      </w:tr>
    </w:tbl>
    <w:p>
      <w:pPr>
        <w:pStyle w:val="2"/>
        <w:rPr>
          <w:rFonts w:hint="default" w:ascii="Times New Roman" w:hAnsi="Times New Roman" w:eastAsia="仿宋_GB2312" w:cs="Times New Roman"/>
          <w:sz w:val="32"/>
          <w:szCs w:val="32"/>
        </w:rPr>
        <w:sectPr>
          <w:headerReference r:id="rId3" w:type="default"/>
          <w:footerReference r:id="rId4" w:type="default"/>
          <w:footerReference r:id="rId5" w:type="even"/>
          <w:pgSz w:w="11906" w:h="16838"/>
          <w:pgMar w:top="1440" w:right="1440" w:bottom="1440" w:left="1440" w:header="851" w:footer="992" w:gutter="0"/>
          <w:pgNumType w:fmt="decimal"/>
          <w:cols w:space="720" w:num="1"/>
          <w:docGrid w:type="lines" w:linePitch="312" w:charSpace="0"/>
        </w:sectPr>
      </w:pPr>
    </w:p>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8"/>
                            </w:rPr>
                          </w:pPr>
                          <w:r>
                            <w:fldChar w:fldCharType="begin"/>
                          </w:r>
                          <w:r>
                            <w:rPr>
                              <w:rStyle w:val="8"/>
                            </w:rPr>
                            <w:instrText xml:space="preserve">PAGE  </w:instrText>
                          </w:r>
                          <w:r>
                            <w:fldChar w:fldCharType="separate"/>
                          </w:r>
                          <w:r>
                            <w:rPr>
                              <w:rStyle w:val="8"/>
                            </w:rP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rPr>
                        <w:rStyle w:val="8"/>
                      </w:rPr>
                    </w:pPr>
                    <w:r>
                      <w:fldChar w:fldCharType="begin"/>
                    </w:r>
                    <w:r>
                      <w:rPr>
                        <w:rStyle w:val="8"/>
                      </w:rPr>
                      <w:instrText xml:space="preserve">PAGE  </w:instrText>
                    </w:r>
                    <w:r>
                      <w:fldChar w:fldCharType="separate"/>
                    </w:r>
                    <w:r>
                      <w:rPr>
                        <w:rStyle w:val="8"/>
                      </w:rP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rFonts w:hint="eastAsia"/>
      </w:rPr>
    </w:pPr>
  </w:p>
  <w:p>
    <w:pPr>
      <w:pStyle w:val="6"/>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0403B"/>
    <w:rsid w:val="00D42B12"/>
    <w:rsid w:val="0130403B"/>
    <w:rsid w:val="028655CF"/>
    <w:rsid w:val="02BD15A8"/>
    <w:rsid w:val="047C237D"/>
    <w:rsid w:val="07045894"/>
    <w:rsid w:val="08137658"/>
    <w:rsid w:val="11EF7244"/>
    <w:rsid w:val="16C62479"/>
    <w:rsid w:val="17A70A61"/>
    <w:rsid w:val="1E596930"/>
    <w:rsid w:val="229921FC"/>
    <w:rsid w:val="22CB78AD"/>
    <w:rsid w:val="252A6DED"/>
    <w:rsid w:val="29020F13"/>
    <w:rsid w:val="30116C0D"/>
    <w:rsid w:val="31CC51D5"/>
    <w:rsid w:val="34D5244D"/>
    <w:rsid w:val="37BF5809"/>
    <w:rsid w:val="3BE50919"/>
    <w:rsid w:val="3F93697F"/>
    <w:rsid w:val="47736F47"/>
    <w:rsid w:val="4B322AF5"/>
    <w:rsid w:val="4D4A46E2"/>
    <w:rsid w:val="4DE97A79"/>
    <w:rsid w:val="4E125365"/>
    <w:rsid w:val="50127277"/>
    <w:rsid w:val="57007565"/>
    <w:rsid w:val="58C460F3"/>
    <w:rsid w:val="5AA7061C"/>
    <w:rsid w:val="5E22230C"/>
    <w:rsid w:val="60051132"/>
    <w:rsid w:val="6044093E"/>
    <w:rsid w:val="609C5FD0"/>
    <w:rsid w:val="63840F76"/>
    <w:rsid w:val="63F02B32"/>
    <w:rsid w:val="63F95BE9"/>
    <w:rsid w:val="683E5769"/>
    <w:rsid w:val="6DF2322E"/>
    <w:rsid w:val="6FF77C59"/>
    <w:rsid w:val="700132A8"/>
    <w:rsid w:val="78DF5746"/>
    <w:rsid w:val="7A9A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2021-07-05T03:18:00Z</dcterms:created>
  <dc:creator>黄春枚</dc:creator>
  <cp:lastModifiedBy>黄春枚</cp:lastModifiedBy>
  <cp:lastPrinted>2021-07-07T02:51:00Z</cp:lastPrinted>
  <dcterms:modified xsi:type="dcterms:W3CDTF">2021-07-07T06:34:35Z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