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hAnsi="仿宋_GB2312" w:eastAsia="仿宋_GB2312" w:cs="仿宋_GB2312"/>
          <w:sz w:val="32"/>
        </w:rPr>
      </w:pPr>
      <w:r>
        <w:rPr>
          <w:rFonts w:hint="eastAsia" w:ascii="仿宋_GB2312" w:hAnsi="仿宋_GB2312" w:eastAsia="仿宋_GB2312" w:cs="仿宋_GB2312"/>
          <w:sz w:val="32"/>
        </w:rPr>
        <w:t>惠公易土市直[20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]0</w:t>
      </w:r>
      <w:r>
        <w:rPr>
          <w:rFonts w:hint="eastAsia" w:ascii="仿宋_GB2312" w:hAnsi="仿宋_GB2312" w:eastAsia="仿宋_GB2312" w:cs="仿宋_GB2312"/>
          <w:sz w:val="32"/>
          <w:lang w:val="en-US" w:eastAsia="zh-CN"/>
        </w:rPr>
        <w:t>21</w:t>
      </w:r>
      <w:r>
        <w:rPr>
          <w:rFonts w:hint="eastAsia" w:ascii="仿宋_GB2312" w:hAnsi="仿宋_GB2312" w:eastAsia="仿宋_GB2312" w:cs="仿宋_GB2312"/>
          <w:sz w:val="32"/>
        </w:rPr>
        <w:t>号</w:t>
      </w:r>
    </w:p>
    <w:p>
      <w:pPr>
        <w:spacing w:line="520" w:lineRule="exact"/>
        <w:ind w:firstLine="360" w:firstLineChars="200"/>
        <w:rPr>
          <w:rFonts w:hint="eastAsia" w:ascii="仿宋_GB2312" w:eastAsia="仿宋_GB2312"/>
          <w:sz w:val="18"/>
          <w:szCs w:val="18"/>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41960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万元的整数倍。</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五、该宗地竞买保证金可用人民币及外币（暂限于美元、港币）支付。</w:t>
      </w:r>
    </w:p>
    <w:p>
      <w:pPr>
        <w:pStyle w:val="2"/>
        <w:keepNext w:val="0"/>
        <w:keepLines w:val="0"/>
        <w:pageBreakBefore w:val="0"/>
        <w:widowControl w:val="0"/>
        <w:kinsoku/>
        <w:wordWrap/>
        <w:overflowPunct/>
        <w:topLinePunct w:val="0"/>
        <w:bidi w:val="0"/>
        <w:spacing w:before="0" w:line="560" w:lineRule="exact"/>
        <w:jc w:val="both"/>
        <w:textAlignment w:val="auto"/>
        <w:rPr>
          <w:rFonts w:hAnsi="仿宋_GB2312" w:cs="仿宋_GB2312"/>
          <w:szCs w:val="32"/>
        </w:rPr>
      </w:pPr>
      <w:r>
        <w:rPr>
          <w:rFonts w:hint="eastAsia" w:hAnsi="仿宋_GB2312" w:cs="仿宋_GB2312"/>
          <w:szCs w:val="32"/>
        </w:rPr>
        <w:t>六、申请人应具备的其他条件：</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ascii="仿宋_GB2312" w:hAnsi="仿宋" w:eastAsia="仿宋_GB2312" w:cs="仿宋_GB2312"/>
          <w:color w:val="000000"/>
          <w:sz w:val="32"/>
          <w:szCs w:val="32"/>
          <w:lang w:val="en-US" w:eastAsia="zh-CN"/>
        </w:rPr>
        <w:t>839</w:t>
      </w:r>
      <w:r>
        <w:rPr>
          <w:rFonts w:hint="eastAsia" w:hAnsi="仿宋" w:cs="仿宋_GB2312"/>
          <w:color w:val="000000"/>
          <w:sz w:val="32"/>
          <w:szCs w:val="32"/>
          <w:lang w:val="en-US" w:eastAsia="zh-CN"/>
        </w:rPr>
        <w:t>2</w:t>
      </w:r>
      <w:r>
        <w:rPr>
          <w:rFonts w:hint="eastAsia" w:hAnsi="仿宋_GB2312" w:cs="仿宋_GB2312"/>
          <w:szCs w:val="32"/>
        </w:rPr>
        <w:t>万元人民币，如以外币缴交竞买保证金的，须缴交美元</w:t>
      </w:r>
      <w:r>
        <w:rPr>
          <w:rFonts w:hint="eastAsia" w:hAnsi="仿宋_GB2312" w:cs="仿宋_GB2312"/>
          <w:szCs w:val="32"/>
          <w:lang w:val="en-US" w:eastAsia="zh-CN"/>
        </w:rPr>
        <w:t>1179</w:t>
      </w:r>
      <w:r>
        <w:rPr>
          <w:rFonts w:hint="eastAsia" w:hAnsi="仿宋_GB2312" w:cs="仿宋_GB2312"/>
          <w:szCs w:val="32"/>
        </w:rPr>
        <w:t>万元或港币</w:t>
      </w:r>
      <w:r>
        <w:rPr>
          <w:rFonts w:hint="eastAsia" w:hAnsi="仿宋_GB2312" w:cs="仿宋_GB2312"/>
          <w:szCs w:val="32"/>
          <w:lang w:val="en-US" w:eastAsia="zh-CN"/>
        </w:rPr>
        <w:t>9123</w:t>
      </w:r>
      <w:r>
        <w:rPr>
          <w:rFonts w:hint="eastAsia" w:hAnsi="仿宋_GB2312" w:cs="仿宋_GB2312"/>
          <w:szCs w:val="32"/>
        </w:rPr>
        <w:t>万元。</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（二）竞得人在用地红线内开发建设必须符合城市规划要求，必须按</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建设用地</w:t>
      </w:r>
      <w:r>
        <w:rPr>
          <w:rFonts w:hint="eastAsia" w:ascii="仿宋_GB2312" w:hAnsi="仿宋" w:eastAsia="仿宋_GB2312" w:cs="Times New Roman"/>
          <w:kern w:val="2"/>
          <w:sz w:val="32"/>
          <w:szCs w:val="32"/>
        </w:rPr>
        <w:t>规划设计条件（案卷编号：</w:t>
      </w:r>
      <w:r>
        <w:rPr>
          <w:rFonts w:hint="eastAsia" w:ascii="仿宋_GB2312" w:hAnsi="仿宋" w:eastAsia="仿宋_GB2312" w:cs="Times New Roman"/>
          <w:kern w:val="2"/>
          <w:sz w:val="32"/>
          <w:szCs w:val="32"/>
          <w:lang w:val="en-US" w:eastAsia="zh-CN"/>
        </w:rPr>
        <w:t>PB</w:t>
      </w:r>
      <w:r>
        <w:rPr>
          <w:rFonts w:hint="default" w:ascii="仿宋_GB2312" w:hAnsi="仿宋" w:eastAsia="仿宋_GB2312" w:cs="Times New Roman"/>
          <w:kern w:val="2"/>
          <w:sz w:val="32"/>
          <w:szCs w:val="32"/>
          <w:lang w:val="en-US" w:eastAsia="zh-CN"/>
        </w:rPr>
        <w:t>20</w:t>
      </w:r>
      <w:r>
        <w:rPr>
          <w:rFonts w:hint="eastAsia" w:ascii="仿宋_GB2312" w:hAnsi="仿宋" w:eastAsia="仿宋_GB2312" w:cs="Times New Roman"/>
          <w:kern w:val="2"/>
          <w:sz w:val="32"/>
          <w:szCs w:val="32"/>
          <w:lang w:val="en-US" w:eastAsia="zh-CN"/>
        </w:rPr>
        <w:t>200044号</w:t>
      </w:r>
      <w:r>
        <w:rPr>
          <w:rFonts w:hint="eastAsia" w:ascii="仿宋_GB2312" w:hAnsi="仿宋" w:eastAsia="仿宋_GB2312" w:cs="Times New Roman"/>
          <w:kern w:val="2"/>
          <w:sz w:val="32"/>
          <w:szCs w:val="32"/>
        </w:rPr>
        <w:t>）》</w:t>
      </w:r>
      <w:r>
        <w:rPr>
          <w:rFonts w:hint="eastAsia" w:hAnsi="仿宋_GB2312" w:cs="仿宋_GB2312"/>
          <w:szCs w:val="32"/>
        </w:rPr>
        <w:t>规划控制指标要求及有关规定进行规划设计。</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eastAsia="zh-CN"/>
        </w:rPr>
        <w:t>（三）</w:t>
      </w:r>
      <w:r>
        <w:rPr>
          <w:rFonts w:hint="eastAsia" w:ascii="仿宋_GB2312" w:hAnsi="仿宋" w:eastAsia="仿宋_GB2312" w:cs="Times New Roman"/>
          <w:kern w:val="2"/>
          <w:sz w:val="32"/>
          <w:szCs w:val="32"/>
          <w:lang w:val="en-US" w:eastAsia="zh-CN"/>
        </w:rPr>
        <w:t>JNDD03-14、JNDD03-17、JNDD03-18</w:t>
      </w:r>
      <w:r>
        <w:rPr>
          <w:rFonts w:hint="eastAsia" w:ascii="仿宋_GB2312" w:hAnsi="仿宋" w:eastAsia="仿宋_GB2312" w:cs="Times New Roman"/>
          <w:kern w:val="2"/>
          <w:sz w:val="32"/>
          <w:szCs w:val="32"/>
          <w:lang w:eastAsia="zh-CN"/>
        </w:rPr>
        <w:t>地</w:t>
      </w:r>
      <w:r>
        <w:rPr>
          <w:rFonts w:hint="eastAsia" w:ascii="仿宋_GB2312" w:hAnsi="仿宋" w:eastAsia="仿宋_GB2312" w:cs="Times New Roman"/>
          <w:kern w:val="2"/>
          <w:sz w:val="32"/>
          <w:szCs w:val="32"/>
        </w:rPr>
        <w:t>块</w:t>
      </w:r>
      <w:r>
        <w:rPr>
          <w:rFonts w:hint="eastAsia" w:ascii="仿宋_GB2312" w:hAnsi="仿宋" w:eastAsia="仿宋_GB2312" w:cs="Times New Roman"/>
          <w:kern w:val="2"/>
          <w:sz w:val="32"/>
          <w:szCs w:val="32"/>
          <w:lang w:eastAsia="zh-CN"/>
        </w:rPr>
        <w:t>内兼容的商业、商务计容积率建筑面积允许在三个地块内统筹考虑，集中建设，但住宅须集中在</w:t>
      </w:r>
      <w:r>
        <w:rPr>
          <w:rFonts w:hint="eastAsia" w:ascii="仿宋_GB2312" w:hAnsi="仿宋" w:eastAsia="仿宋_GB2312" w:cs="Times New Roman"/>
          <w:kern w:val="2"/>
          <w:sz w:val="32"/>
          <w:szCs w:val="32"/>
          <w:lang w:val="en-US" w:eastAsia="zh-CN"/>
        </w:rPr>
        <w:t>JNDD03-18</w:t>
      </w:r>
      <w:r>
        <w:rPr>
          <w:rFonts w:hint="eastAsia" w:ascii="仿宋_GB2312" w:hAnsi="仿宋" w:eastAsia="仿宋_GB2312" w:cs="Times New Roman"/>
          <w:kern w:val="2"/>
          <w:sz w:val="32"/>
          <w:szCs w:val="32"/>
          <w:lang w:eastAsia="zh-CN"/>
        </w:rPr>
        <w:t>地</w:t>
      </w:r>
      <w:r>
        <w:rPr>
          <w:rFonts w:hint="eastAsia" w:ascii="仿宋_GB2312" w:hAnsi="仿宋" w:eastAsia="仿宋_GB2312" w:cs="Times New Roman"/>
          <w:kern w:val="2"/>
          <w:sz w:val="32"/>
          <w:szCs w:val="32"/>
        </w:rPr>
        <w:t>块</w:t>
      </w:r>
      <w:r>
        <w:rPr>
          <w:rFonts w:hint="eastAsia" w:ascii="仿宋_GB2312" w:hAnsi="仿宋" w:eastAsia="仿宋_GB2312" w:cs="Times New Roman"/>
          <w:kern w:val="2"/>
          <w:sz w:val="32"/>
          <w:szCs w:val="32"/>
          <w:lang w:eastAsia="zh-CN"/>
        </w:rPr>
        <w:t>建设。</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lang w:eastAsia="zh-CN"/>
        </w:rPr>
        <w:t>（四）该新型产业项目中兼容的商业和住宅用地及地上物业的分割转让应满足新型产业用地项目实施监管协议书的要求。</w:t>
      </w:r>
    </w:p>
    <w:p>
      <w:pPr>
        <w:spacing w:line="550" w:lineRule="exact"/>
        <w:ind w:firstLine="610"/>
        <w:rPr>
          <w:rFonts w:hint="eastAsia" w:ascii="仿宋_GB2312" w:hAnsi="仿宋" w:eastAsia="仿宋_GB2312"/>
          <w:sz w:val="32"/>
          <w:szCs w:val="32"/>
        </w:rPr>
      </w:pP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五</w:t>
      </w:r>
      <w:r>
        <w:rPr>
          <w:rFonts w:hint="eastAsia" w:ascii="仿宋_GB2312" w:hAnsi="仿宋" w:eastAsia="仿宋_GB2312" w:cs="Times New Roman"/>
          <w:kern w:val="2"/>
          <w:sz w:val="32"/>
          <w:szCs w:val="32"/>
        </w:rPr>
        <w:t>）</w:t>
      </w:r>
      <w:r>
        <w:rPr>
          <w:rFonts w:hint="eastAsia" w:ascii="仿宋_GB2312" w:hAnsi="仿宋" w:eastAsia="仿宋_GB2312"/>
          <w:sz w:val="32"/>
          <w:szCs w:val="32"/>
        </w:rPr>
        <w:t>存在下列违法违规违约行为之一的企业及其控股股东，不得参与竞买上述地块：</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1、存在伪造公文骗取用地和非法倒卖土地等犯罪行为的；</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2、存在非法转让土地使用权等违法行为的；</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3、因企业原因造成土地闲置一年以上且至报名日止未处罚完结的；</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5、至报名日止仍拖欠政府地价款的;</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6、被列入问题楼盘开发企业黑名单的;</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7、存在其它被禁止竞买土地行为的。</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十二、因该地块用地性质为新</w:t>
      </w:r>
      <w:r>
        <w:rPr>
          <w:rFonts w:hint="eastAsia" w:ascii="仿宋_GB2312" w:hAnsi="仿宋_GB2312" w:eastAsia="仿宋_GB2312" w:cs="仿宋_GB2312"/>
          <w:sz w:val="32"/>
          <w:szCs w:val="32"/>
          <w:lang w:val="en-US" w:eastAsia="zh-CN"/>
        </w:rPr>
        <w:t>型</w:t>
      </w:r>
      <w:r>
        <w:rPr>
          <w:rFonts w:hint="eastAsia" w:ascii="仿宋_GB2312" w:hAnsi="仿宋_GB2312" w:eastAsia="仿宋_GB2312" w:cs="仿宋_GB2312"/>
          <w:sz w:val="32"/>
          <w:szCs w:val="32"/>
        </w:rPr>
        <w:t>产业用地，竞得人须</w:t>
      </w:r>
      <w:r>
        <w:rPr>
          <w:rFonts w:hint="eastAsia" w:ascii="仿宋_GB2312" w:hAnsi="仿宋_GB2312" w:eastAsia="仿宋_GB2312" w:cs="仿宋_GB2312"/>
          <w:sz w:val="32"/>
          <w:szCs w:val="32"/>
          <w:lang w:eastAsia="zh-CN"/>
        </w:rPr>
        <w:t>接受</w:t>
      </w:r>
      <w:r>
        <w:rPr>
          <w:rFonts w:hint="eastAsia" w:ascii="仿宋_GB2312" w:hAnsi="仿宋" w:eastAsia="仿宋_GB2312" w:cs="Times New Roman"/>
          <w:kern w:val="2"/>
          <w:sz w:val="32"/>
          <w:szCs w:val="32"/>
          <w:lang w:eastAsia="zh-CN"/>
        </w:rPr>
        <w:t>《新型产业用地项目实施监管协议书》，并</w:t>
      </w:r>
      <w:r>
        <w:rPr>
          <w:rFonts w:hint="eastAsia" w:ascii="仿宋_GB2312" w:hAnsi="仿宋_GB2312" w:eastAsia="仿宋_GB2312" w:cs="仿宋_GB2312"/>
          <w:sz w:val="32"/>
          <w:szCs w:val="32"/>
        </w:rPr>
        <w:t>在签订《成交确认书》后5个工作日内与惠城区人民政府签订《新型产业用地项目实施监管协议书》；签订《新型产业用地项目实施监管协议书》后5个工作日内与出让人签订《国有建设用地使用权出让合同》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逾期自动解除《成交确认书》，定金不予返还。</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竞得人签订《成交确认书》后，缴交的保证金中按</w:t>
      </w:r>
      <w:bookmarkStart w:id="0" w:name="_GoBack"/>
      <w:bookmarkEnd w:id="0"/>
      <w:r>
        <w:rPr>
          <w:rFonts w:hint="eastAsia" w:ascii="仿宋_GB2312" w:hAnsi="仿宋_GB2312" w:eastAsia="仿宋_GB2312" w:cs="仿宋_GB2312"/>
          <w:sz w:val="32"/>
          <w:szCs w:val="32"/>
        </w:rPr>
        <w:t>成交价的10%转作定金，竞得人签订《出让合同》后，定金转作土地出让价款。</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保证金少于成交价10%的，不足部分由竞得人在签订《成交确认书》之日起5个工作日内付清。</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eastAsia="zh-CN"/>
        </w:rPr>
      </w:pPr>
      <w:r>
        <w:rPr>
          <w:rFonts w:hint="eastAsia" w:ascii="仿宋_GB2312" w:hAnsi="仿宋_GB2312" w:eastAsia="仿宋_GB2312" w:cs="仿宋_GB2312"/>
          <w:sz w:val="32"/>
          <w:szCs w:val="32"/>
        </w:rPr>
        <w:t>（一）</w:t>
      </w:r>
      <w:r>
        <w:rPr>
          <w:rFonts w:hint="eastAsia" w:ascii="仿宋_GB2312" w:hAnsi="仿宋" w:eastAsia="仿宋_GB2312" w:cs="Times New Roman"/>
          <w:kern w:val="2"/>
          <w:sz w:val="32"/>
          <w:szCs w:val="32"/>
          <w:lang w:eastAsia="zh-CN"/>
        </w:rPr>
        <w:t>开发投资总额按新型产业用地项目实施监管协议书中有关约定执行。</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（四）竞得人有下列行为之一的，视为违约，取消竞得人资格，没收保证金,并由有关部门依法处理;造成损失的，竞得人还应依法承担赔偿责任：</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）挂牌出让价款不含应由竞得人缴纳的契税、印花税等有关费用。</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十五、联系方式：</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（一）惠州市自然资源局用地科</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地址：惠州市江北三新南路7号</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叶小姐</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2896312</w:t>
      </w:r>
    </w:p>
    <w:p>
      <w:pPr>
        <w:spacing w:line="520" w:lineRule="exact"/>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联系人：袁小姐、黄小姐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联系电话：（0752）7121026、7121042</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spacing w:line="520" w:lineRule="exact"/>
        <w:ind w:firstLine="55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spacing w:line="520" w:lineRule="exact"/>
        <w:ind w:left="487" w:leftChars="232"/>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right="640"/>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right="640" w:firstLine="4640" w:firstLineChars="1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spacing w:line="520" w:lineRule="exact"/>
        <w:ind w:right="640" w:firstLine="5120" w:firstLineChars="1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2020年6月5日</w:t>
      </w:r>
    </w:p>
    <w:p>
      <w:pPr>
        <w:spacing w:line="360" w:lineRule="auto"/>
        <w:rPr>
          <w:rFonts w:ascii="仿宋_GB2312" w:eastAsia="仿宋_GB2312"/>
          <w:sz w:val="32"/>
          <w:szCs w:val="32"/>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480"/>
        <w:gridCol w:w="765"/>
        <w:gridCol w:w="450"/>
        <w:gridCol w:w="990"/>
        <w:gridCol w:w="1035"/>
        <w:gridCol w:w="615"/>
        <w:gridCol w:w="840"/>
        <w:gridCol w:w="1782"/>
        <w:gridCol w:w="888"/>
        <w:gridCol w:w="852"/>
        <w:gridCol w:w="864"/>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4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48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6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45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9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687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774"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645" w:type="dxa"/>
            <w:vMerge w:val="continue"/>
            <w:vAlign w:val="center"/>
          </w:tcPr>
          <w:p>
            <w:pPr>
              <w:adjustRightInd w:val="0"/>
              <w:snapToGrid w:val="0"/>
              <w:spacing w:line="320" w:lineRule="exact"/>
              <w:jc w:val="center"/>
              <w:rPr>
                <w:rFonts w:hint="eastAsia" w:ascii="仿宋_GB2312" w:eastAsia="仿宋_GB2312"/>
                <w:b/>
                <w:bCs/>
              </w:rPr>
            </w:pPr>
          </w:p>
        </w:tc>
        <w:tc>
          <w:tcPr>
            <w:tcW w:w="480" w:type="dxa"/>
            <w:vMerge w:val="continue"/>
            <w:vAlign w:val="center"/>
          </w:tcPr>
          <w:p>
            <w:pPr>
              <w:adjustRightInd w:val="0"/>
              <w:snapToGrid w:val="0"/>
              <w:spacing w:line="320" w:lineRule="exact"/>
              <w:jc w:val="center"/>
              <w:rPr>
                <w:rFonts w:hint="eastAsia" w:ascii="仿宋_GB2312" w:eastAsia="仿宋_GB2312"/>
                <w:b/>
                <w:bCs/>
              </w:rPr>
            </w:pPr>
          </w:p>
        </w:tc>
        <w:tc>
          <w:tcPr>
            <w:tcW w:w="765" w:type="dxa"/>
            <w:vMerge w:val="continue"/>
            <w:vAlign w:val="center"/>
          </w:tcPr>
          <w:p>
            <w:pPr>
              <w:adjustRightInd w:val="0"/>
              <w:snapToGrid w:val="0"/>
              <w:spacing w:line="320" w:lineRule="exact"/>
              <w:jc w:val="center"/>
              <w:rPr>
                <w:rFonts w:hint="eastAsia" w:ascii="仿宋_GB2312" w:eastAsia="仿宋_GB2312"/>
                <w:b/>
                <w:bCs/>
              </w:rPr>
            </w:pPr>
          </w:p>
        </w:tc>
        <w:tc>
          <w:tcPr>
            <w:tcW w:w="450" w:type="dxa"/>
            <w:vMerge w:val="continue"/>
            <w:vAlign w:val="center"/>
          </w:tcPr>
          <w:p>
            <w:pPr>
              <w:adjustRightInd w:val="0"/>
              <w:snapToGrid w:val="0"/>
              <w:spacing w:line="320" w:lineRule="exact"/>
              <w:jc w:val="center"/>
              <w:rPr>
                <w:rFonts w:hint="eastAsia" w:ascii="仿宋_GB2312" w:eastAsia="仿宋_GB2312"/>
                <w:b/>
                <w:bCs/>
              </w:rPr>
            </w:pPr>
          </w:p>
        </w:tc>
        <w:tc>
          <w:tcPr>
            <w:tcW w:w="990" w:type="dxa"/>
            <w:vMerge w:val="continue"/>
            <w:vAlign w:val="center"/>
          </w:tcPr>
          <w:p>
            <w:pPr>
              <w:adjustRightInd w:val="0"/>
              <w:snapToGrid w:val="0"/>
              <w:spacing w:line="320" w:lineRule="exact"/>
              <w:jc w:val="center"/>
              <w:rPr>
                <w:rFonts w:hint="eastAsia" w:ascii="仿宋_GB2312" w:eastAsia="仿宋_GB2312"/>
                <w:b/>
                <w:bCs/>
              </w:rPr>
            </w:pPr>
          </w:p>
        </w:tc>
        <w:tc>
          <w:tcPr>
            <w:tcW w:w="1035"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15"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840"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782"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888"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852"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ascii="仿宋_GB2312" w:eastAsia="仿宋_GB2312"/>
                <w:b/>
                <w:bCs/>
              </w:rPr>
            </w:pPr>
            <w:r>
              <w:rPr>
                <w:rFonts w:hint="eastAsia" w:ascii="宋体" w:hAnsi="宋体" w:cs="宋体"/>
                <w:b/>
                <w:szCs w:val="21"/>
              </w:rPr>
              <w:t>（％）</w:t>
            </w:r>
          </w:p>
        </w:tc>
        <w:tc>
          <w:tcPr>
            <w:tcW w:w="864" w:type="dxa"/>
            <w:vAlign w:val="center"/>
          </w:tcPr>
          <w:p>
            <w:pPr>
              <w:spacing w:line="320" w:lineRule="exact"/>
              <w:ind w:left="44" w:right="-53" w:rightChars="-25" w:hanging="44" w:hangingChars="21"/>
              <w:jc w:val="center"/>
              <w:rPr>
                <w:rFonts w:hint="eastAsia" w:ascii="仿宋_GB2312" w:eastAsia="仿宋_GB2312"/>
                <w:b/>
                <w:bCs/>
              </w:rPr>
            </w:pPr>
            <w:r>
              <w:rPr>
                <w:rFonts w:hint="eastAsia" w:ascii="仿宋_GB2312" w:eastAsia="仿宋_GB2312"/>
                <w:b/>
                <w:bCs/>
                <w:szCs w:val="21"/>
              </w:rPr>
              <w:t>适建性</w:t>
            </w:r>
          </w:p>
          <w:p>
            <w:pPr>
              <w:autoSpaceDE w:val="0"/>
              <w:autoSpaceDN w:val="0"/>
              <w:adjustRightInd w:val="0"/>
              <w:spacing w:line="240" w:lineRule="exact"/>
              <w:jc w:val="center"/>
              <w:rPr>
                <w:rFonts w:hint="eastAsia" w:ascii="仿宋_GB2312" w:eastAsia="仿宋_GB2312"/>
                <w:b/>
                <w:bCs/>
              </w:rPr>
            </w:pPr>
          </w:p>
        </w:tc>
        <w:tc>
          <w:tcPr>
            <w:tcW w:w="774"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6" w:hRule="atLeast"/>
          <w:jc w:val="center"/>
        </w:trPr>
        <w:tc>
          <w:tcPr>
            <w:tcW w:w="645" w:type="dxa"/>
            <w:vMerge w:val="restart"/>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GP2020-21</w:t>
            </w:r>
          </w:p>
        </w:tc>
        <w:tc>
          <w:tcPr>
            <w:tcW w:w="480" w:type="dxa"/>
            <w:vMerge w:val="restart"/>
            <w:vAlign w:val="center"/>
          </w:tcPr>
          <w:p>
            <w:pPr>
              <w:jc w:val="center"/>
              <w:rPr>
                <w:rFonts w:hint="eastAsia" w:ascii="仿宋_GB2312" w:hAnsi="Times New Roman" w:eastAsia="仿宋_GB2312"/>
                <w:szCs w:val="21"/>
              </w:rPr>
            </w:pPr>
            <w:r>
              <w:rPr>
                <w:rFonts w:hint="eastAsia" w:ascii="Times New Roman" w:hAnsi="Times New Roman" w:eastAsia="仿宋_GB2312" w:cs="Times New Roman"/>
                <w:sz w:val="21"/>
                <w:szCs w:val="21"/>
                <w:lang w:val="en-US" w:eastAsia="zh-CN"/>
              </w:rPr>
              <w:t>惠州市惠城区江南大道</w:t>
            </w:r>
          </w:p>
        </w:tc>
        <w:tc>
          <w:tcPr>
            <w:tcW w:w="765" w:type="dxa"/>
            <w:vAlign w:val="center"/>
          </w:tcPr>
          <w:p>
            <w:pPr>
              <w:adjustRightInd w:val="0"/>
              <w:snapToGrid w:val="0"/>
              <w:spacing w:line="4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JNDD03-14</w:t>
            </w:r>
          </w:p>
        </w:tc>
        <w:tc>
          <w:tcPr>
            <w:tcW w:w="450" w:type="dxa"/>
            <w:vMerge w:val="restart"/>
            <w:tcMar>
              <w:left w:w="0" w:type="dxa"/>
              <w:right w:w="0" w:type="dxa"/>
            </w:tcMar>
            <w:vAlign w:val="center"/>
          </w:tcPr>
          <w:p>
            <w:pPr>
              <w:adjustRightInd w:val="0"/>
              <w:snapToGrid w:val="0"/>
              <w:spacing w:line="4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新型</w:t>
            </w:r>
          </w:p>
          <w:p>
            <w:pPr>
              <w:adjustRightInd w:val="0"/>
              <w:snapToGrid w:val="0"/>
              <w:spacing w:line="4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w:t>
            </w:r>
          </w:p>
          <w:p>
            <w:pPr>
              <w:adjustRightInd w:val="0"/>
              <w:snapToGrid w:val="0"/>
              <w:spacing w:line="4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用地</w:t>
            </w:r>
          </w:p>
        </w:tc>
        <w:tc>
          <w:tcPr>
            <w:tcW w:w="990" w:type="dxa"/>
            <w:vAlign w:val="center"/>
          </w:tcPr>
          <w:p>
            <w:pPr>
              <w:adjustRightInd w:val="0"/>
              <w:snapToGrid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26198</w:t>
            </w:r>
          </w:p>
        </w:tc>
        <w:tc>
          <w:tcPr>
            <w:tcW w:w="1035"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20378.29</w:t>
            </w:r>
          </w:p>
        </w:tc>
        <w:tc>
          <w:tcPr>
            <w:tcW w:w="615" w:type="dxa"/>
            <w:vAlign w:val="center"/>
          </w:tcPr>
          <w:p>
            <w:pPr>
              <w:jc w:val="center"/>
              <w:rPr>
                <w:rFonts w:hint="default" w:ascii="Times New Roman" w:hAnsi="Times New Roman" w:eastAsia="仿宋_GB2312" w:cs="Times New Roman"/>
                <w:kern w:val="2"/>
                <w:sz w:val="21"/>
                <w:szCs w:val="21"/>
                <w:lang w:val="en-US" w:eastAsia="zh-CN"/>
              </w:rPr>
            </w:pPr>
            <w:r>
              <w:rPr>
                <w:rFonts w:hint="eastAsia" w:ascii="Times New Roman" w:hAnsi="Times New Roman" w:eastAsia="仿宋_GB2312" w:cs="Times New Roman"/>
                <w:kern w:val="2"/>
                <w:sz w:val="21"/>
                <w:szCs w:val="21"/>
                <w:lang w:val="en-US" w:eastAsia="zh-CN"/>
              </w:rPr>
              <w:t>≤60</w:t>
            </w:r>
          </w:p>
        </w:tc>
        <w:tc>
          <w:tcPr>
            <w:tcW w:w="840" w:type="dxa"/>
            <w:vAlign w:val="center"/>
          </w:tcPr>
          <w:p>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2.5-3.2</w:t>
            </w:r>
          </w:p>
        </w:tc>
        <w:tc>
          <w:tcPr>
            <w:tcW w:w="1782" w:type="dxa"/>
            <w:vAlign w:val="center"/>
          </w:tcPr>
          <w:p>
            <w:pPr>
              <w:adjustRightInd w:val="0"/>
              <w:snapToGrid w:val="0"/>
              <w:spacing w:line="400" w:lineRule="exact"/>
              <w:jc w:val="center"/>
              <w:rPr>
                <w:rFonts w:hint="eastAsia" w:ascii="仿宋_GB2312" w:hAnsi="Times New Roman" w:eastAsia="仿宋_GB2312"/>
                <w:szCs w:val="21"/>
              </w:rPr>
            </w:pPr>
            <w:r>
              <w:rPr>
                <w:rFonts w:hint="default" w:ascii="Times New Roman" w:hAnsi="Times New Roman" w:eastAsia="仿宋_GB2312" w:cs="Times New Roman"/>
                <w:sz w:val="21"/>
                <w:szCs w:val="21"/>
                <w:lang w:val="en-US" w:eastAsia="zh-CN"/>
              </w:rPr>
              <w:t>65495-83833</w:t>
            </w:r>
            <w:r>
              <w:rPr>
                <w:rFonts w:hint="eastAsia" w:ascii="Times New Roman" w:hAnsi="Times New Roman" w:eastAsia="仿宋_GB2312" w:cs="Times New Roman"/>
                <w:sz w:val="21"/>
                <w:szCs w:val="21"/>
                <w:lang w:val="en-US" w:eastAsia="zh-CN"/>
              </w:rPr>
              <w:t>（其中：产业用房建筑面积</w:t>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60%；住宅、商业和商务建筑面积≤30%，配套用房建筑面积≤10%）</w:t>
            </w:r>
          </w:p>
        </w:tc>
        <w:tc>
          <w:tcPr>
            <w:tcW w:w="888" w:type="dxa"/>
            <w:vMerge w:val="restart"/>
            <w:vAlign w:val="center"/>
          </w:tcPr>
          <w:p>
            <w:pPr>
              <w:adjustRightInd w:val="0"/>
              <w:snapToGrid w:val="0"/>
              <w:spacing w:line="400" w:lineRule="exact"/>
              <w:jc w:val="center"/>
              <w:rPr>
                <w:rFonts w:hint="eastAsia" w:ascii="仿宋_GB2312" w:hAnsi="Times New Roman" w:eastAsia="仿宋_GB2312"/>
                <w:szCs w:val="21"/>
              </w:rPr>
            </w:pPr>
            <w:r>
              <w:rPr>
                <w:rFonts w:hint="eastAsia" w:ascii="Times New Roman" w:hAnsi="Times New Roman" w:eastAsia="仿宋_GB2312" w:cs="Times New Roman"/>
                <w:sz w:val="21"/>
                <w:szCs w:val="21"/>
                <w:lang w:val="en-US" w:eastAsia="zh-CN"/>
              </w:rPr>
              <w:t>产业每100平方米计容积率</w:t>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0.5个，住宅、商业和商务每100平方米计容积率</w:t>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1</w:t>
            </w:r>
          </w:p>
        </w:tc>
        <w:tc>
          <w:tcPr>
            <w:tcW w:w="852" w:type="dxa"/>
            <w:vAlign w:val="center"/>
          </w:tcPr>
          <w:p>
            <w:pPr>
              <w:adjustRightInd w:val="0"/>
              <w:snapToGrid w:val="0"/>
              <w:spacing w:line="4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15-20</w:t>
            </w:r>
          </w:p>
        </w:tc>
        <w:tc>
          <w:tcPr>
            <w:tcW w:w="864" w:type="dxa"/>
            <w:vMerge w:val="restart"/>
            <w:vAlign w:val="center"/>
          </w:tcPr>
          <w:p>
            <w:pPr>
              <w:adjustRightInd w:val="0"/>
              <w:snapToGrid w:val="0"/>
              <w:spacing w:line="4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新型产业、住宅、商业和商务及配套设施</w:t>
            </w:r>
          </w:p>
        </w:tc>
        <w:tc>
          <w:tcPr>
            <w:tcW w:w="774" w:type="dxa"/>
            <w:vMerge w:val="restart"/>
            <w:vAlign w:val="center"/>
          </w:tcPr>
          <w:p>
            <w:pPr>
              <w:adjustRightInd w:val="0"/>
              <w:snapToGrid w:val="0"/>
              <w:spacing w:line="4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产业用地50年、住宅用地70年、商服用地40年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645" w:type="dxa"/>
            <w:vMerge w:val="continue"/>
            <w:tcMar>
              <w:left w:w="0" w:type="dxa"/>
              <w:right w:w="0" w:type="dxa"/>
            </w:tcMar>
            <w:vAlign w:val="center"/>
          </w:tcPr>
          <w:p>
            <w:pPr>
              <w:jc w:val="center"/>
              <w:rPr>
                <w:rFonts w:hint="eastAsia" w:ascii="仿宋_GB2312" w:hAnsi="Times New Roman" w:eastAsia="仿宋_GB2312"/>
                <w:szCs w:val="21"/>
              </w:rPr>
            </w:pPr>
          </w:p>
        </w:tc>
        <w:tc>
          <w:tcPr>
            <w:tcW w:w="480" w:type="dxa"/>
            <w:vMerge w:val="continue"/>
            <w:vAlign w:val="center"/>
          </w:tcPr>
          <w:p>
            <w:pPr>
              <w:jc w:val="center"/>
              <w:rPr>
                <w:rFonts w:hint="eastAsia" w:ascii="仿宋_GB2312" w:hAnsi="Times New Roman" w:eastAsia="仿宋_GB2312"/>
                <w:szCs w:val="21"/>
              </w:rPr>
            </w:pPr>
          </w:p>
        </w:tc>
        <w:tc>
          <w:tcPr>
            <w:tcW w:w="765" w:type="dxa"/>
            <w:vAlign w:val="center"/>
          </w:tcPr>
          <w:p>
            <w:pPr>
              <w:adjustRightInd w:val="0"/>
              <w:snapToGrid w:val="0"/>
              <w:spacing w:line="4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JNDD03-17</w:t>
            </w:r>
          </w:p>
        </w:tc>
        <w:tc>
          <w:tcPr>
            <w:tcW w:w="450" w:type="dxa"/>
            <w:vMerge w:val="continue"/>
            <w:tcMar>
              <w:left w:w="0" w:type="dxa"/>
              <w:right w:w="0" w:type="dxa"/>
            </w:tcMar>
            <w:vAlign w:val="center"/>
          </w:tcPr>
          <w:p>
            <w:pPr>
              <w:adjustRightInd w:val="0"/>
              <w:snapToGrid w:val="0"/>
              <w:spacing w:line="400" w:lineRule="exact"/>
              <w:jc w:val="center"/>
              <w:rPr>
                <w:rFonts w:hint="eastAsia" w:ascii="Times New Roman" w:hAnsi="Times New Roman" w:eastAsia="仿宋_GB2312" w:cs="Times New Roman"/>
                <w:sz w:val="21"/>
                <w:szCs w:val="21"/>
                <w:lang w:val="en-US" w:eastAsia="zh-CN"/>
              </w:rPr>
            </w:pPr>
          </w:p>
        </w:tc>
        <w:tc>
          <w:tcPr>
            <w:tcW w:w="990" w:type="dxa"/>
            <w:vAlign w:val="center"/>
          </w:tcPr>
          <w:p>
            <w:pPr>
              <w:adjustRightInd w:val="0"/>
              <w:snapToGrid w:val="0"/>
              <w:spacing w:line="4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50171.6</w:t>
            </w:r>
          </w:p>
        </w:tc>
        <w:tc>
          <w:tcPr>
            <w:tcW w:w="1035"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kern w:val="2"/>
                <w:sz w:val="21"/>
                <w:szCs w:val="21"/>
                <w:lang w:val="en-US" w:eastAsia="zh-CN"/>
              </w:rPr>
              <w:t>39217.7</w:t>
            </w:r>
          </w:p>
        </w:tc>
        <w:tc>
          <w:tcPr>
            <w:tcW w:w="615" w:type="dxa"/>
            <w:vAlign w:val="center"/>
          </w:tcPr>
          <w:p>
            <w:pPr>
              <w:jc w:val="center"/>
              <w:rPr>
                <w:rFonts w:hint="default" w:ascii="Times New Roman" w:hAnsi="Times New Roman" w:eastAsia="仿宋_GB2312" w:cs="Times New Roman"/>
                <w:kern w:val="2"/>
                <w:sz w:val="21"/>
                <w:szCs w:val="21"/>
                <w:lang w:val="en-US" w:eastAsia="zh-CN"/>
              </w:rPr>
            </w:pPr>
            <w:r>
              <w:rPr>
                <w:rFonts w:hint="eastAsia" w:ascii="Times New Roman" w:hAnsi="Times New Roman" w:eastAsia="仿宋_GB2312" w:cs="Times New Roman"/>
                <w:kern w:val="2"/>
                <w:sz w:val="21"/>
                <w:szCs w:val="21"/>
                <w:lang w:val="en-US" w:eastAsia="zh-CN"/>
              </w:rPr>
              <w:t>≤45</w:t>
            </w:r>
          </w:p>
        </w:tc>
        <w:tc>
          <w:tcPr>
            <w:tcW w:w="840" w:type="dxa"/>
            <w:vAlign w:val="center"/>
          </w:tcPr>
          <w:p>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1.5-2.0</w:t>
            </w:r>
          </w:p>
        </w:tc>
        <w:tc>
          <w:tcPr>
            <w:tcW w:w="1782" w:type="dxa"/>
            <w:vAlign w:val="center"/>
          </w:tcPr>
          <w:p>
            <w:pPr>
              <w:adjustRightInd w:val="0"/>
              <w:snapToGrid w:val="0"/>
              <w:spacing w:line="400" w:lineRule="exact"/>
              <w:jc w:val="center"/>
              <w:rPr>
                <w:rFonts w:hint="eastAsia" w:ascii="仿宋_GB2312" w:hAnsi="Times New Roman" w:eastAsia="仿宋_GB2312"/>
                <w:szCs w:val="21"/>
              </w:rPr>
            </w:pPr>
            <w:r>
              <w:rPr>
                <w:rFonts w:hint="default" w:ascii="Times New Roman" w:hAnsi="Times New Roman" w:eastAsia="仿宋_GB2312" w:cs="Times New Roman"/>
                <w:sz w:val="21"/>
                <w:szCs w:val="21"/>
                <w:lang w:val="en-US" w:eastAsia="zh-CN"/>
              </w:rPr>
              <w:t>75258-100344</w:t>
            </w:r>
            <w:r>
              <w:rPr>
                <w:rFonts w:hint="eastAsia" w:ascii="Times New Roman" w:hAnsi="Times New Roman" w:eastAsia="仿宋_GB2312" w:cs="Times New Roman"/>
                <w:sz w:val="21"/>
                <w:szCs w:val="21"/>
                <w:lang w:val="en-US" w:eastAsia="zh-CN"/>
              </w:rPr>
              <w:t>（其中：产业用房建筑面积</w:t>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60%；住宅、商业和商务建筑面积≤30%，配套用房建筑面积≤10%）</w:t>
            </w:r>
          </w:p>
        </w:tc>
        <w:tc>
          <w:tcPr>
            <w:tcW w:w="888" w:type="dxa"/>
            <w:vMerge w:val="continue"/>
            <w:vAlign w:val="center"/>
          </w:tcPr>
          <w:p>
            <w:pPr>
              <w:adjustRightInd w:val="0"/>
              <w:snapToGrid w:val="0"/>
              <w:spacing w:line="400" w:lineRule="exact"/>
              <w:jc w:val="center"/>
              <w:rPr>
                <w:rFonts w:hint="eastAsia" w:ascii="仿宋_GB2312" w:hAnsi="Times New Roman" w:eastAsia="仿宋_GB2312"/>
                <w:szCs w:val="21"/>
                <w:lang w:val="en-US" w:eastAsia="zh-CN"/>
              </w:rPr>
            </w:pPr>
          </w:p>
        </w:tc>
        <w:tc>
          <w:tcPr>
            <w:tcW w:w="852" w:type="dxa"/>
            <w:vAlign w:val="center"/>
          </w:tcPr>
          <w:p>
            <w:pPr>
              <w:adjustRightInd w:val="0"/>
              <w:snapToGrid w:val="0"/>
              <w:spacing w:line="400" w:lineRule="exact"/>
              <w:jc w:val="center"/>
              <w:rPr>
                <w:rFonts w:ascii="Arial" w:hAnsi="Arial" w:eastAsia="仿宋_GB2312" w:cs="Arial"/>
                <w:szCs w:val="21"/>
              </w:rPr>
            </w:pPr>
            <w:r>
              <w:rPr>
                <w:rFonts w:hint="eastAsia" w:ascii="Times New Roman" w:hAnsi="Times New Roman" w:eastAsia="仿宋_GB2312" w:cs="Times New Roman"/>
                <w:sz w:val="21"/>
                <w:szCs w:val="21"/>
                <w:lang w:val="en-US" w:eastAsia="zh-CN"/>
              </w:rPr>
              <w:t>15-20</w:t>
            </w:r>
          </w:p>
        </w:tc>
        <w:tc>
          <w:tcPr>
            <w:tcW w:w="864" w:type="dxa"/>
            <w:vMerge w:val="continue"/>
            <w:vAlign w:val="center"/>
          </w:tcPr>
          <w:p>
            <w:pPr>
              <w:ind w:leftChars="-51" w:right="-118" w:rightChars="-56" w:hanging="107" w:hangingChars="51"/>
              <w:jc w:val="left"/>
              <w:rPr>
                <w:rFonts w:hint="eastAsia" w:ascii="仿宋_GB2312" w:hAnsi="仿宋_GB2312" w:eastAsia="仿宋_GB2312"/>
                <w:color w:val="000000"/>
                <w:szCs w:val="21"/>
              </w:rPr>
            </w:pPr>
          </w:p>
        </w:tc>
        <w:tc>
          <w:tcPr>
            <w:tcW w:w="774" w:type="dxa"/>
            <w:vMerge w:val="continue"/>
            <w:vAlign w:val="center"/>
          </w:tcPr>
          <w:p>
            <w:pPr>
              <w:ind w:leftChars="-51" w:right="-118" w:rightChars="-56" w:hanging="107" w:hangingChars="51"/>
              <w:jc w:val="left"/>
              <w:rPr>
                <w:rFonts w:hint="eastAsia" w:ascii="仿宋_GB2312" w:hAns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0" w:hRule="atLeast"/>
          <w:jc w:val="center"/>
        </w:trPr>
        <w:tc>
          <w:tcPr>
            <w:tcW w:w="645" w:type="dxa"/>
            <w:vMerge w:val="continue"/>
            <w:tcMar>
              <w:left w:w="0" w:type="dxa"/>
              <w:right w:w="0" w:type="dxa"/>
            </w:tcMar>
            <w:vAlign w:val="center"/>
          </w:tcPr>
          <w:p>
            <w:pPr>
              <w:jc w:val="center"/>
              <w:rPr>
                <w:rFonts w:hint="eastAsia" w:ascii="仿宋_GB2312" w:hAnsi="Times New Roman" w:eastAsia="仿宋_GB2312"/>
                <w:szCs w:val="21"/>
              </w:rPr>
            </w:pPr>
          </w:p>
        </w:tc>
        <w:tc>
          <w:tcPr>
            <w:tcW w:w="480" w:type="dxa"/>
            <w:vMerge w:val="continue"/>
            <w:vAlign w:val="center"/>
          </w:tcPr>
          <w:p>
            <w:pPr>
              <w:jc w:val="center"/>
              <w:rPr>
                <w:rFonts w:hint="eastAsia" w:ascii="仿宋_GB2312" w:hAnsi="Times New Roman" w:eastAsia="仿宋_GB2312"/>
                <w:szCs w:val="21"/>
              </w:rPr>
            </w:pPr>
          </w:p>
        </w:tc>
        <w:tc>
          <w:tcPr>
            <w:tcW w:w="765" w:type="dxa"/>
            <w:vAlign w:val="center"/>
          </w:tcPr>
          <w:p>
            <w:pPr>
              <w:adjustRightInd w:val="0"/>
              <w:snapToGrid w:val="0"/>
              <w:spacing w:line="4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JNDD03-18</w:t>
            </w:r>
          </w:p>
        </w:tc>
        <w:tc>
          <w:tcPr>
            <w:tcW w:w="450" w:type="dxa"/>
            <w:vMerge w:val="continue"/>
            <w:tcMar>
              <w:left w:w="0" w:type="dxa"/>
              <w:right w:w="0" w:type="dxa"/>
            </w:tcMar>
            <w:vAlign w:val="center"/>
          </w:tcPr>
          <w:p>
            <w:pPr>
              <w:jc w:val="center"/>
              <w:rPr>
                <w:rFonts w:hint="eastAsia" w:ascii="仿宋_GB2312" w:hAnsi="Times New Roman" w:eastAsia="仿宋_GB2312"/>
                <w:szCs w:val="21"/>
              </w:rPr>
            </w:pPr>
          </w:p>
        </w:tc>
        <w:tc>
          <w:tcPr>
            <w:tcW w:w="990" w:type="dxa"/>
            <w:vAlign w:val="center"/>
          </w:tcPr>
          <w:p>
            <w:pPr>
              <w:adjustRightInd w:val="0"/>
              <w:snapToGrid w:val="0"/>
              <w:spacing w:line="400" w:lineRule="exact"/>
              <w:jc w:val="center"/>
              <w:rPr>
                <w:rFonts w:hint="eastAsia" w:ascii="Times New Roman" w:hAnsi="Times New Roman" w:eastAsia="仿宋_GB2312" w:cs="Times New Roman"/>
                <w:b w:val="0"/>
                <w:bCs w:val="0"/>
                <w:sz w:val="21"/>
                <w:szCs w:val="21"/>
                <w:lang w:val="en-US" w:eastAsia="zh-CN"/>
              </w:rPr>
            </w:pPr>
            <w:r>
              <w:rPr>
                <w:rFonts w:hint="eastAsia" w:ascii="Times New Roman" w:hAnsi="Times New Roman" w:eastAsia="仿宋_GB2312" w:cs="Times New Roman"/>
                <w:b w:val="0"/>
                <w:bCs w:val="0"/>
                <w:sz w:val="21"/>
                <w:szCs w:val="21"/>
                <w:lang w:val="en-US" w:eastAsia="zh-CN"/>
              </w:rPr>
              <w:t>23301.61</w:t>
            </w:r>
          </w:p>
        </w:tc>
        <w:tc>
          <w:tcPr>
            <w:tcW w:w="1035" w:type="dxa"/>
            <w:vAlign w:val="center"/>
          </w:tcPr>
          <w:p>
            <w:pPr>
              <w:adjustRightInd w:val="0"/>
              <w:snapToGrid w:val="0"/>
              <w:spacing w:line="400" w:lineRule="exact"/>
              <w:jc w:val="center"/>
              <w:rPr>
                <w:rFonts w:hint="eastAsia" w:ascii="Times New Roman" w:hAnsi="Times New Roman" w:eastAsia="仿宋_GB2312" w:cs="Times New Roman"/>
                <w:b w:val="0"/>
                <w:bCs w:val="0"/>
                <w:sz w:val="21"/>
                <w:szCs w:val="21"/>
                <w:lang w:val="en-US" w:eastAsia="zh-CN"/>
              </w:rPr>
            </w:pPr>
            <w:r>
              <w:rPr>
                <w:rFonts w:hint="eastAsia" w:ascii="Times New Roman" w:hAnsi="Times New Roman" w:eastAsia="仿宋_GB2312" w:cs="Times New Roman"/>
                <w:b w:val="0"/>
                <w:bCs w:val="0"/>
                <w:sz w:val="21"/>
                <w:szCs w:val="21"/>
                <w:lang w:val="en-US" w:eastAsia="zh-CN"/>
              </w:rPr>
              <w:t>18868.22</w:t>
            </w:r>
          </w:p>
        </w:tc>
        <w:tc>
          <w:tcPr>
            <w:tcW w:w="615" w:type="dxa"/>
            <w:vAlign w:val="center"/>
          </w:tcPr>
          <w:p>
            <w:pPr>
              <w:adjustRightInd w:val="0"/>
              <w:snapToGrid w:val="0"/>
              <w:spacing w:line="400" w:lineRule="exact"/>
              <w:jc w:val="center"/>
              <w:rPr>
                <w:rFonts w:hint="eastAsia" w:eastAsia="仿宋_GB2312"/>
                <w:szCs w:val="21"/>
              </w:rPr>
            </w:pPr>
            <w:r>
              <w:rPr>
                <w:rFonts w:hint="eastAsia" w:ascii="Times New Roman" w:hAnsi="Times New Roman" w:eastAsia="仿宋_GB2312" w:cs="Times New Roman"/>
                <w:kern w:val="2"/>
                <w:sz w:val="21"/>
                <w:szCs w:val="21"/>
                <w:lang w:val="en-US" w:eastAsia="zh-CN"/>
              </w:rPr>
              <w:t>≤45</w:t>
            </w:r>
          </w:p>
        </w:tc>
        <w:tc>
          <w:tcPr>
            <w:tcW w:w="840" w:type="dxa"/>
            <w:vAlign w:val="center"/>
          </w:tcPr>
          <w:p>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2.5-4.1</w:t>
            </w:r>
          </w:p>
        </w:tc>
        <w:tc>
          <w:tcPr>
            <w:tcW w:w="1782" w:type="dxa"/>
            <w:vAlign w:val="center"/>
          </w:tcPr>
          <w:p>
            <w:pPr>
              <w:adjustRightInd w:val="0"/>
              <w:snapToGrid w:val="0"/>
              <w:spacing w:line="400" w:lineRule="exact"/>
              <w:jc w:val="center"/>
              <w:rPr>
                <w:rFonts w:hint="eastAsia" w:ascii="仿宋_GB2312" w:hAnsi="Times New Roman" w:eastAsia="仿宋_GB2312"/>
                <w:szCs w:val="21"/>
              </w:rPr>
            </w:pPr>
            <w:r>
              <w:rPr>
                <w:rFonts w:hint="default" w:ascii="Times New Roman" w:hAnsi="Times New Roman" w:eastAsia="仿宋_GB2312" w:cs="Times New Roman"/>
                <w:b w:val="0"/>
                <w:bCs w:val="0"/>
                <w:sz w:val="21"/>
                <w:szCs w:val="21"/>
                <w:lang w:val="en-US" w:eastAsia="zh-CN"/>
              </w:rPr>
              <w:t>58255-95538</w:t>
            </w:r>
            <w:r>
              <w:rPr>
                <w:rFonts w:hint="eastAsia" w:ascii="Times New Roman" w:hAnsi="Times New Roman" w:eastAsia="仿宋_GB2312" w:cs="Times New Roman"/>
                <w:b w:val="0"/>
                <w:bCs w:val="0"/>
                <w:sz w:val="21"/>
                <w:szCs w:val="21"/>
                <w:lang w:val="en-US" w:eastAsia="zh-CN"/>
              </w:rPr>
              <w:t>（其中：产业用房建筑面积</w:t>
            </w:r>
            <w:r>
              <w:rPr>
                <w:rFonts w:hint="default" w:ascii="Times New Roman" w:hAnsi="Times New Roman" w:eastAsia="仿宋_GB2312" w:cs="Times New Roman"/>
                <w:b w:val="0"/>
                <w:bCs w:val="0"/>
                <w:sz w:val="21"/>
                <w:szCs w:val="21"/>
                <w:lang w:val="en-US" w:eastAsia="zh-CN"/>
              </w:rPr>
              <w:t>≥</w:t>
            </w:r>
            <w:r>
              <w:rPr>
                <w:rFonts w:hint="eastAsia" w:ascii="Times New Roman" w:hAnsi="Times New Roman" w:eastAsia="仿宋_GB2312" w:cs="Times New Roman"/>
                <w:b w:val="0"/>
                <w:bCs w:val="0"/>
                <w:sz w:val="21"/>
                <w:szCs w:val="21"/>
                <w:lang w:val="en-US" w:eastAsia="zh-CN"/>
              </w:rPr>
              <w:t>60%；住宅、商业和商务建筑面积≤30%，配套用房建筑面积≤10%</w:t>
            </w:r>
            <w:r>
              <w:rPr>
                <w:rFonts w:hint="eastAsia" w:eastAsia="仿宋_GB2312"/>
                <w:b w:val="0"/>
                <w:bCs w:val="0"/>
                <w:sz w:val="28"/>
                <w:szCs w:val="28"/>
                <w:lang w:val="en-US" w:eastAsia="zh-CN"/>
              </w:rPr>
              <w:t>）</w:t>
            </w:r>
          </w:p>
        </w:tc>
        <w:tc>
          <w:tcPr>
            <w:tcW w:w="888" w:type="dxa"/>
            <w:vMerge w:val="continue"/>
            <w:vAlign w:val="center"/>
          </w:tcPr>
          <w:p>
            <w:pPr>
              <w:adjustRightInd w:val="0"/>
              <w:snapToGrid w:val="0"/>
              <w:spacing w:line="400" w:lineRule="exact"/>
              <w:jc w:val="center"/>
              <w:rPr>
                <w:rFonts w:hint="eastAsia" w:ascii="仿宋_GB2312" w:hAnsi="Times New Roman" w:eastAsia="仿宋_GB2312"/>
                <w:szCs w:val="21"/>
                <w:lang w:val="en-US" w:eastAsia="zh-CN"/>
              </w:rPr>
            </w:pPr>
          </w:p>
        </w:tc>
        <w:tc>
          <w:tcPr>
            <w:tcW w:w="852" w:type="dxa"/>
            <w:vAlign w:val="center"/>
          </w:tcPr>
          <w:p>
            <w:pPr>
              <w:adjustRightInd w:val="0"/>
              <w:snapToGrid w:val="0"/>
              <w:spacing w:line="400" w:lineRule="exact"/>
              <w:jc w:val="center"/>
              <w:rPr>
                <w:rFonts w:ascii="Arial" w:hAnsi="Arial" w:eastAsia="仿宋_GB2312" w:cs="Arial"/>
                <w:szCs w:val="21"/>
              </w:rPr>
            </w:pPr>
            <w:r>
              <w:rPr>
                <w:rFonts w:hint="eastAsia" w:ascii="Times New Roman" w:hAnsi="Times New Roman" w:eastAsia="仿宋_GB2312" w:cs="Times New Roman"/>
                <w:sz w:val="21"/>
                <w:szCs w:val="21"/>
                <w:lang w:val="en-US" w:eastAsia="zh-CN"/>
              </w:rPr>
              <w:t>15-20</w:t>
            </w:r>
          </w:p>
        </w:tc>
        <w:tc>
          <w:tcPr>
            <w:tcW w:w="864" w:type="dxa"/>
            <w:vMerge w:val="continue"/>
            <w:vAlign w:val="center"/>
          </w:tcPr>
          <w:p>
            <w:pPr>
              <w:ind w:leftChars="-51" w:right="-118" w:rightChars="-56" w:hanging="107" w:hangingChars="51"/>
              <w:jc w:val="left"/>
              <w:rPr>
                <w:rFonts w:hint="eastAsia" w:ascii="仿宋_GB2312" w:hAnsi="仿宋_GB2312" w:eastAsia="仿宋_GB2312"/>
                <w:color w:val="000000"/>
                <w:szCs w:val="21"/>
              </w:rPr>
            </w:pPr>
          </w:p>
        </w:tc>
        <w:tc>
          <w:tcPr>
            <w:tcW w:w="774" w:type="dxa"/>
            <w:vMerge w:val="continue"/>
            <w:vAlign w:val="center"/>
          </w:tcPr>
          <w:p>
            <w:pPr>
              <w:ind w:leftChars="-51" w:right="-118" w:rightChars="-56" w:hanging="107" w:hangingChars="51"/>
              <w:jc w:val="left"/>
              <w:rPr>
                <w:rFonts w:hint="eastAsia" w:ascii="仿宋_GB2312" w:hAnsi="仿宋_GB2312" w:eastAsia="仿宋_GB2312"/>
                <w:color w:val="000000"/>
                <w:szCs w:val="21"/>
              </w:rPr>
            </w:pPr>
          </w:p>
        </w:tc>
      </w:tr>
    </w:tbl>
    <w:p>
      <w:pPr>
        <w:pStyle w:val="3"/>
        <w:wordWrap w:val="0"/>
        <w:jc w:val="both"/>
        <w:rPr>
          <w:rFonts w:hAnsi="宋体"/>
        </w:rPr>
      </w:pPr>
      <w:r>
        <w:rPr>
          <w:rFonts w:ascii="黑体" w:hAnsi="宋体" w:eastAsia="黑体" w:cs="黑体"/>
          <w:sz w:val="36"/>
          <w:szCs w:val="36"/>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 xmlns:a="http://schemas.openxmlformats.org/drawingml/2006/main">
                  <a:graphicData uri="http://schemas.microsoft.com/office/word/2010/wordprocessingShape">
                    <wps:wsp>
                      <wps:cNvSpPr/>
                      <wps:spPr>
                        <a:xfrm>
                          <a:off x="0" y="0"/>
                          <a:ext cx="635000" cy="635000"/>
                        </a:xfrm>
                        <a:custGeom>
                          <a:avLst/>
                          <a:gdLst/>
                          <a:ahLst/>
                          <a:cxnLst/>
                          <a:pathLst/>
                        </a:custGeom>
                        <a:noFill/>
                        <a:ln>
                          <a:noFill/>
                        </a:ln>
                      </wps:spPr>
                      <wps:bodyPr upright="1"/>
                    </wps:wsp>
                  </a:graphicData>
                </a:graphic>
              </wp:anchor>
            </w:drawing>
          </mc:Choice>
          <mc:Fallback>
            <w:pict>
              <v:shape id="_x0000_s1026" o:spid="_x0000_s1026" o:spt="100" style="position:absolute;left:0pt;margin-left:0pt;margin-top:0pt;height:50pt;width:50pt;visibility:hidden;z-index:251661312;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KY/denPAAAABQEAAA8AAAAAAAAAAQAgAAAAIgAAAGRycy9kb3ducmV2&#10;LnhtbFBLAQIUABQAAAAIAIdO4kBlEj5ckwEAABoDAAAOAAAAAAAAAAEAIAAAAB4BAABkcnMvZTJv&#10;RG9jLnhtbFBLBQYAAAAABgAGAFkBAAAjBQAAAAA=&#10;">
                <v:fill on="f" focussize="0,0"/>
                <v:stroke on="f"/>
                <v:imagedata o:title=""/>
                <o:lock v:ext="edit" aspectratio="f"/>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- 9 -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21E78"/>
    <w:rsid w:val="01D322BE"/>
    <w:rsid w:val="024D42F1"/>
    <w:rsid w:val="03434BB4"/>
    <w:rsid w:val="0F060820"/>
    <w:rsid w:val="1E5F5F6E"/>
    <w:rsid w:val="20521E78"/>
    <w:rsid w:val="260F2FF0"/>
    <w:rsid w:val="262D66A1"/>
    <w:rsid w:val="47D43890"/>
    <w:rsid w:val="66290B33"/>
    <w:rsid w:val="70F10850"/>
    <w:rsid w:val="79DA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Plain Text"/>
    <w:basedOn w:val="1"/>
    <w:qFormat/>
    <w:uiPriority w:val="0"/>
    <w:rPr>
      <w:rFonts w:ascii="宋体" w:hAnsi="Courier New"/>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2020-06-05T06:27:00Z</dcterms:created>
  <dc:creator>黄春枚</dc:creator>
  <cp:lastModifiedBy>黄春枚</cp:lastModifiedBy>
  <cp:lastPrinted>2020-06-05T06:39:00Z</cp:lastPrinted>
  <dcterms:modified xsi:type="dcterms:W3CDTF">2020-06-05T10:26:24Z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