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8"/>
        </w:rPr>
      </w:pPr>
      <w:r>
        <w:rPr>
          <w:rFonts w:hint="default" w:ascii="Times New Roman" w:hAnsi="Times New Roman" w:eastAsia="方正小标宋_GBK" w:cs="Times New Roman"/>
          <w:b/>
          <w:bCs/>
          <w:spacing w:val="3"/>
          <w:sz w:val="44"/>
          <w:szCs w:val="44"/>
        </w:rPr>
        <w:t>惠州市国有建设用地使用权网上挂牌</w:t>
      </w:r>
      <w:r>
        <w:rPr>
          <w:rFonts w:hint="default" w:ascii="Times New Roman" w:hAnsi="Times New Roman" w:eastAsia="方正小标宋_GBK" w:cs="Times New Roman"/>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049</w:t>
      </w:r>
      <w:r>
        <w:rPr>
          <w:rFonts w:hint="eastAsia" w:ascii="仿宋_GB2312" w:eastAsia="仿宋_GB2312"/>
          <w:sz w:val="32"/>
          <w:szCs w:val="32"/>
        </w:rPr>
        <w:t>号</w:t>
      </w:r>
    </w:p>
    <w:p>
      <w:pPr>
        <w:pStyle w:val="2"/>
        <w:rPr>
          <w:rFonts w:hint="default"/>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firstLine="720" w:firstLineChars="22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firstLine="720" w:firstLineChars="22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二、网上挂牌竞买时间为20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时至20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时。</w:t>
      </w:r>
    </w:p>
    <w:p>
      <w:pPr>
        <w:keepNext w:val="0"/>
        <w:keepLines w:val="0"/>
        <w:pageBreakBefore w:val="0"/>
        <w:kinsoku/>
        <w:wordWrap/>
        <w:overflowPunct/>
        <w:topLinePunct w:val="0"/>
        <w:autoSpaceDE/>
        <w:autoSpaceDN/>
        <w:bidi w:val="0"/>
        <w:spacing w:line="560" w:lineRule="exact"/>
        <w:ind w:firstLine="720" w:firstLineChars="22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三、挂牌起始价为人民币</w:t>
      </w:r>
      <w:r>
        <w:rPr>
          <w:rFonts w:hint="eastAsia" w:ascii="Times New Roman" w:hAnsi="Times New Roman" w:eastAsia="仿宋_GB2312" w:cs="Times New Roman"/>
          <w:sz w:val="32"/>
          <w:szCs w:val="32"/>
          <w:lang w:val="en-US" w:eastAsia="zh-CN"/>
        </w:rPr>
        <w:t>2300</w:t>
      </w:r>
      <w:r>
        <w:rPr>
          <w:rFonts w:hint="default" w:ascii="Times New Roman" w:hAnsi="Times New Roman" w:eastAsia="仿宋_GB2312" w:cs="Times New Roman"/>
          <w:sz w:val="32"/>
          <w:szCs w:val="32"/>
        </w:rPr>
        <w:t>万元,每次报价加价幅度为人民币100万元的整数倍。</w:t>
      </w:r>
    </w:p>
    <w:p>
      <w:pPr>
        <w:keepNext w:val="0"/>
        <w:keepLines w:val="0"/>
        <w:pageBreakBefore w:val="0"/>
        <w:kinsoku/>
        <w:wordWrap/>
        <w:overflowPunct/>
        <w:topLinePunct w:val="0"/>
        <w:autoSpaceDE/>
        <w:autoSpaceDN/>
        <w:bidi w:val="0"/>
        <w:spacing w:line="560" w:lineRule="exact"/>
        <w:ind w:firstLine="720" w:firstLineChars="22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四、中华人民共和国境内外的法人、自然人和其他组织（除法律法规另有规定外）均可申请参加竞买。申请人可以单独申请，也可以联合申请：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（一）单独申请竞买的，竞买申请人为非本市注册登记的企业，在竞得土地后，必须于2个月内在本市工商行政管理部门注册成立项目开发公司，并以该公司名义办理土地出让与登记发证手续。</w:t>
      </w:r>
      <w:r>
        <w:rPr>
          <w:rFonts w:hint="eastAsia" w:hAnsi="仿宋_GB2312" w:cs="仿宋_GB2312"/>
          <w:szCs w:val="32"/>
        </w:rPr>
        <w:t>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default" w:ascii="Times New Roman" w:hAnsi="Times New Roman" w:cs="Times New Roman"/>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五、该宗地竞买保证金可用人民币及外币（暂限于美元、港币）支付。</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六、申请人应具备的其他条件：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（一）缴交竞买保证金</w:t>
      </w:r>
      <w:r>
        <w:rPr>
          <w:rFonts w:hint="eastAsia" w:ascii="Times New Roman" w:hAnsi="Times New Roman" w:cs="Times New Roman"/>
          <w:color w:val="000000"/>
          <w:sz w:val="32"/>
          <w:szCs w:val="32"/>
          <w:lang w:val="en-US" w:eastAsia="zh-CN"/>
        </w:rPr>
        <w:t>460</w:t>
      </w:r>
      <w:r>
        <w:rPr>
          <w:rFonts w:hint="default" w:ascii="Times New Roman" w:hAnsi="Times New Roman" w:cs="Times New Roman"/>
          <w:szCs w:val="32"/>
        </w:rPr>
        <w:t>万元人民币，如以外币缴交竞买保证金的，须缴交美元</w:t>
      </w:r>
      <w:r>
        <w:rPr>
          <w:rFonts w:hint="eastAsia" w:ascii="Times New Roman" w:hAnsi="Times New Roman" w:cs="Times New Roman"/>
          <w:szCs w:val="32"/>
          <w:lang w:val="en-US" w:eastAsia="zh-CN"/>
        </w:rPr>
        <w:t>69</w:t>
      </w:r>
      <w:r>
        <w:rPr>
          <w:rFonts w:hint="default" w:ascii="Times New Roman" w:hAnsi="Times New Roman" w:cs="Times New Roman"/>
          <w:szCs w:val="32"/>
        </w:rPr>
        <w:t>万元或港币</w:t>
      </w:r>
      <w:r>
        <w:rPr>
          <w:rFonts w:hint="eastAsia" w:ascii="Times New Roman" w:hAnsi="Times New Roman" w:cs="Times New Roman"/>
          <w:szCs w:val="32"/>
          <w:lang w:val="en-US" w:eastAsia="zh-CN"/>
        </w:rPr>
        <w:t>538</w:t>
      </w:r>
      <w:r>
        <w:rPr>
          <w:rFonts w:hint="default" w:ascii="Times New Roman" w:hAnsi="Times New Roman" w:cs="Times New Roman"/>
          <w:szCs w:val="32"/>
        </w:rPr>
        <w:t>万元。</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（二）竞得人在用地红线内开发建设必须符合城市规划要求，必须按</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w:t>
      </w:r>
      <w:r>
        <w:rPr>
          <w:rFonts w:hint="default" w:ascii="Times New Roman" w:hAnsi="Times New Roman" w:cs="Times New Roman"/>
          <w:szCs w:val="32"/>
        </w:rPr>
        <w:t>（案卷编号：</w:t>
      </w:r>
      <w:r>
        <w:rPr>
          <w:rFonts w:hint="default" w:ascii="Times New Roman" w:hAnsi="Times New Roman" w:eastAsia="仿宋_GB2312" w:cs="Times New Roman"/>
          <w:sz w:val="32"/>
          <w:szCs w:val="32"/>
        </w:rPr>
        <w:t>PB20</w:t>
      </w:r>
      <w:r>
        <w:rPr>
          <w:rFonts w:hint="default" w:ascii="Times New Roman" w:hAnsi="Times New Roman" w:eastAsia="仿宋_GB2312" w:cs="Times New Roman"/>
          <w:sz w:val="32"/>
          <w:szCs w:val="32"/>
          <w:lang w:val="en-US"/>
        </w:rPr>
        <w:t>200</w:t>
      </w:r>
      <w:r>
        <w:rPr>
          <w:rFonts w:hint="eastAsia" w:ascii="Times New Roman" w:hAnsi="Times New Roman" w:cs="Times New Roman"/>
          <w:sz w:val="32"/>
          <w:szCs w:val="32"/>
          <w:lang w:val="en-US" w:eastAsia="zh-CN"/>
        </w:rPr>
        <w:t>069</w:t>
      </w:r>
      <w:r>
        <w:rPr>
          <w:rFonts w:hint="default" w:ascii="Times New Roman" w:hAnsi="Times New Roman" w:cs="Times New Roman"/>
          <w:szCs w:val="32"/>
        </w:rPr>
        <w:t>）规划控制指标要求及有关规定进行规划设计。</w:t>
      </w:r>
    </w:p>
    <w:p>
      <w:pPr>
        <w:keepNext w:val="0"/>
        <w:keepLines w:val="0"/>
        <w:pageBreakBefore w:val="0"/>
        <w:tabs>
          <w:tab w:val="left" w:pos="217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2"/>
          <w:sz w:val="32"/>
          <w:szCs w:val="32"/>
        </w:rPr>
      </w:pPr>
      <w:r>
        <w:rPr>
          <w:rFonts w:hint="eastAsia" w:ascii="仿宋_GB2312" w:hAnsi="仿宋" w:eastAsia="仿宋_GB2312"/>
          <w:kern w:val="2"/>
          <w:sz w:val="32"/>
          <w:szCs w:val="32"/>
        </w:rPr>
        <w:t>（三）取得</w:t>
      </w:r>
      <w:r>
        <w:rPr>
          <w:rFonts w:hint="eastAsia" w:ascii="Times New Roman" w:hAnsi="Times New Roman" w:eastAsia="仿宋_GB2312" w:cs="Times New Roman"/>
          <w:kern w:val="2"/>
          <w:sz w:val="32"/>
          <w:szCs w:val="32"/>
          <w:lang w:val="en-US" w:eastAsia="zh-CN" w:bidi="ar-SA"/>
        </w:rPr>
        <w:t>JBN-16-02-01</w:t>
      </w:r>
      <w:r>
        <w:rPr>
          <w:rFonts w:hint="eastAsia" w:ascii="仿宋_GB2312" w:hAnsi="仿宋" w:eastAsia="仿宋_GB2312"/>
          <w:kern w:val="2"/>
          <w:sz w:val="32"/>
          <w:szCs w:val="32"/>
        </w:rPr>
        <w:t>土地使用权人应按照《</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》的规划要求配建相关的配套设施。</w:t>
      </w:r>
    </w:p>
    <w:p>
      <w:pPr>
        <w:keepNext w:val="0"/>
        <w:keepLines w:val="0"/>
        <w:pageBreakBefore w:val="0"/>
        <w:widowControl/>
        <w:kinsoku/>
        <w:wordWrap/>
        <w:overflowPunct/>
        <w:topLinePunct w:val="0"/>
        <w:autoSpaceDE/>
        <w:autoSpaceDN/>
        <w:bidi w:val="0"/>
        <w:spacing w:line="560" w:lineRule="exact"/>
        <w:ind w:firstLine="618"/>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5、至报名日止仍拖欠政府地价款的;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6、被列入问题楼盘开发企业黑名单的;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7、存在其它被禁止竞买土地行为的。</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上</w:t>
      </w:r>
      <w:r>
        <w:rPr>
          <w:rFonts w:hint="default" w:ascii="Times New Roman" w:hAnsi="Times New Roman" w:eastAsia="仿宋_GB2312" w:cs="Times New Roman"/>
          <w:sz w:val="32"/>
          <w:szCs w:val="32"/>
        </w:rPr>
        <w:t>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十三、其它需要公告的事项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（一）开发投资总额不少于</w:t>
      </w:r>
      <w:r>
        <w:rPr>
          <w:rFonts w:hint="eastAsia" w:ascii="Times New Roman" w:hAnsi="Times New Roman" w:eastAsia="仿宋_GB2312" w:cs="Times New Roman"/>
          <w:kern w:val="2"/>
          <w:sz w:val="32"/>
          <w:szCs w:val="32"/>
          <w:lang w:val="en-US" w:eastAsia="zh-CN"/>
        </w:rPr>
        <w:t>5800</w:t>
      </w:r>
      <w:r>
        <w:rPr>
          <w:rFonts w:hint="default" w:ascii="Times New Roman" w:hAnsi="Times New Roman" w:eastAsia="仿宋_GB2312" w:cs="Times New Roman"/>
          <w:sz w:val="32"/>
          <w:szCs w:val="32"/>
        </w:rPr>
        <w:t>万元（含地价,不含地价溢价部分）。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（二）土地成交价款须以人民币支付,竞得人在签订《出让合同》之日起30日内付清全部成交价款。</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1、不符合竞买资格条件的；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3、竞得人以其他非法手段竞得的；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7、构成违约责任的其他行为。</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firstLine="555"/>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w:t>
      </w:r>
      <w:r>
        <w:rPr>
          <w:rFonts w:hint="eastAsia" w:eastAsia="仿宋_GB2312" w:cs="Times New Roman"/>
          <w:sz w:val="32"/>
          <w:szCs w:val="32"/>
          <w:lang w:val="en-US" w:eastAsia="zh-CN"/>
        </w:rPr>
        <w:t>四、该宗地使用网上挂牌方式出让，交易全程适用《惠州市国有建设用地使用权和矿业权电子挂牌交易规则》（惠府〔2014〕167号）。</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、联系方式：</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联系地址：广东省惠州市江北文华一路2号大隆大厦6楼</w:t>
      </w:r>
    </w:p>
    <w:p>
      <w:pPr>
        <w:keepNext w:val="0"/>
        <w:keepLines w:val="0"/>
        <w:pageBreakBefore w:val="0"/>
        <w:kinsoku/>
        <w:wordWrap/>
        <w:overflowPunct/>
        <w:topLinePunct w:val="0"/>
        <w:autoSpaceDE/>
        <w:autoSpaceDN/>
        <w:bidi w:val="0"/>
        <w:spacing w:line="560" w:lineRule="exact"/>
        <w:ind w:firstLine="555"/>
        <w:textAlignment w:val="auto"/>
        <w:outlineLvl w:val="9"/>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联系人：袁小姐、黄小姐</w:t>
      </w:r>
      <w:r>
        <w:rPr>
          <w:rFonts w:hint="eastAsia"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eastAsia" w:ascii="仿宋_GB2312" w:hAnsi="仿宋_GB2312" w:eastAsia="仿宋_GB2312" w:cs="仿宋_GB2312"/>
          <w:sz w:val="32"/>
          <w:szCs w:val="32"/>
        </w:rPr>
        <w:t>（0752）</w:t>
      </w:r>
      <w:r>
        <w:rPr>
          <w:rFonts w:hint="eastAsia" w:ascii="仿宋_GB2312" w:hAnsi="仿宋_GB2312" w:eastAsia="仿宋_GB2312" w:cs="仿宋_GB2312"/>
          <w:sz w:val="32"/>
          <w:szCs w:val="32"/>
          <w:lang w:val="en-US" w:eastAsia="zh-CN"/>
        </w:rPr>
        <w:t>7121026、7121042</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中国土地市场网:</w:t>
      </w:r>
      <w:r>
        <w:rPr>
          <w:rFonts w:hint="default" w:ascii="Times New Roman" w:hAnsi="Times New Roman" w:eastAsia="仿宋_GB2312" w:cs="Times New Roman"/>
          <w:b w:val="0"/>
          <w:bCs w:val="0"/>
          <w:sz w:val="32"/>
          <w:szCs w:val="32"/>
        </w:rPr>
        <w:t xml:space="preserve"> http://www.landchina.com</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广东省土地市场网：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"http://www.landgd.com"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http://www.landgd.com</w:t>
      </w:r>
      <w:r>
        <w:rPr>
          <w:rFonts w:hint="default" w:ascii="Times New Roman" w:hAnsi="Times New Roman" w:eastAsia="仿宋_GB2312" w:cs="Times New Roman"/>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"http://zyjy.huizhou.gov.cn"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http://zyjy.huizhou.gov.cn</w:t>
      </w:r>
      <w:r>
        <w:rPr>
          <w:rFonts w:hint="default" w:ascii="Times New Roman" w:hAnsi="Times New Roman" w:eastAsia="仿宋_GB2312" w:cs="Times New Roman"/>
          <w:sz w:val="32"/>
          <w:szCs w:val="32"/>
        </w:rPr>
        <w:fldChar w:fldCharType="end"/>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eastAsia="仿宋_GB2312"/>
          <w:lang w:val="en-US" w:eastAsia="zh-CN"/>
        </w:rPr>
      </w:pPr>
      <w:r>
        <w:rPr>
          <w:rFonts w:hint="eastAsia" w:eastAsia="仿宋_GB2312" w:cs="Times New Roman"/>
          <w:sz w:val="32"/>
          <w:szCs w:val="32"/>
          <w:lang w:val="en-US" w:eastAsia="zh-CN"/>
        </w:rPr>
        <w:t>惠州日报。</w:t>
      </w:r>
    </w:p>
    <w:p>
      <w:pPr>
        <w:keepNext w:val="0"/>
        <w:keepLines w:val="0"/>
        <w:pageBreakBefore w:val="0"/>
        <w:kinsoku/>
        <w:wordWrap/>
        <w:overflowPunct/>
        <w:topLinePunct w:val="0"/>
        <w:autoSpaceDE/>
        <w:autoSpaceDN/>
        <w:bidi w:val="0"/>
        <w:spacing w:line="560" w:lineRule="exact"/>
        <w:ind w:left="487" w:leftChars="232"/>
        <w:textAlignment w:val="auto"/>
        <w:outlineLvl w:val="9"/>
        <w:rPr>
          <w:rFonts w:hint="default" w:ascii="Times New Roman" w:hAnsi="Times New Roman" w:cs="Times New Roman"/>
          <w:color w:val="696969"/>
          <w:sz w:val="32"/>
          <w:szCs w:val="32"/>
        </w:rPr>
      </w:pPr>
      <w:r>
        <w:rPr>
          <w:rFonts w:hint="default" w:ascii="Times New Roman" w:hAnsi="Times New Roman" w:eastAsia="仿宋_GB2312" w:cs="Times New Roman"/>
          <w:sz w:val="32"/>
          <w:szCs w:val="32"/>
        </w:rPr>
        <w:t>数字证书办理地址：</w:t>
      </w:r>
      <w:r>
        <w:rPr>
          <w:rFonts w:hint="default" w:ascii="Times New Roman" w:hAnsi="Times New Roman" w:eastAsia="仿宋_GB2312" w:cs="Times New Roman"/>
          <w:color w:val="000000"/>
          <w:sz w:val="32"/>
          <w:szCs w:val="32"/>
        </w:rPr>
        <w:t>惠州市江北云山西路二号帝景国际商务中心七层18-22房。</w:t>
      </w:r>
    </w:p>
    <w:p>
      <w:pPr>
        <w:keepNext w:val="0"/>
        <w:keepLines w:val="0"/>
        <w:pageBreakBefore w:val="0"/>
        <w:kinsoku/>
        <w:wordWrap/>
        <w:overflowPunct/>
        <w:topLinePunct w:val="0"/>
        <w:autoSpaceDE/>
        <w:autoSpaceDN/>
        <w:bidi w:val="0"/>
        <w:spacing w:line="560" w:lineRule="exact"/>
        <w:ind w:firstLine="55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联系电话：0752-2898481</w:t>
      </w:r>
    </w:p>
    <w:p>
      <w:pPr>
        <w:spacing w:line="520" w:lineRule="exact"/>
        <w:ind w:right="640" w:firstLine="5033" w:firstLineChars="1573"/>
        <w:rPr>
          <w:rFonts w:hint="default" w:ascii="Times New Roman" w:hAnsi="Times New Roman" w:eastAsia="仿宋_GB2312" w:cs="Times New Roman"/>
          <w:sz w:val="32"/>
          <w:szCs w:val="32"/>
        </w:rPr>
      </w:pPr>
    </w:p>
    <w:p>
      <w:pPr>
        <w:spacing w:line="520" w:lineRule="exact"/>
        <w:ind w:right="640" w:firstLine="5033" w:firstLineChars="1573"/>
        <w:rPr>
          <w:rFonts w:hint="default" w:ascii="Times New Roman" w:hAnsi="Times New Roman" w:eastAsia="仿宋_GB2312" w:cs="Times New Roman"/>
          <w:sz w:val="32"/>
          <w:szCs w:val="32"/>
        </w:rPr>
      </w:pPr>
    </w:p>
    <w:p>
      <w:pPr>
        <w:spacing w:line="520" w:lineRule="exact"/>
        <w:ind w:right="640" w:firstLine="5033" w:firstLineChars="1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惠州市自然资源局</w:t>
      </w:r>
    </w:p>
    <w:p>
      <w:pPr>
        <w:spacing w:line="520" w:lineRule="exact"/>
        <w:ind w:right="640" w:firstLine="4640" w:firstLineChars="1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2020年11月18日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1136" w:type="dxa"/>
        <w:jc w:val="center"/>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0"/>
        <w:gridCol w:w="885"/>
        <w:gridCol w:w="765"/>
        <w:gridCol w:w="780"/>
        <w:gridCol w:w="975"/>
        <w:gridCol w:w="720"/>
        <w:gridCol w:w="765"/>
        <w:gridCol w:w="1095"/>
        <w:gridCol w:w="1059"/>
        <w:gridCol w:w="654"/>
        <w:gridCol w:w="594"/>
        <w:gridCol w:w="67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798"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1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88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6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8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534"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98" w:type="dxa"/>
            <w:vMerge w:val="continue"/>
            <w:vAlign w:val="center"/>
          </w:tcPr>
          <w:p>
            <w:pPr>
              <w:adjustRightInd w:val="0"/>
              <w:snapToGrid w:val="0"/>
              <w:spacing w:line="320" w:lineRule="exact"/>
              <w:jc w:val="center"/>
              <w:rPr>
                <w:rFonts w:hint="eastAsia" w:ascii="仿宋_GB2312" w:eastAsia="仿宋_GB2312"/>
                <w:b/>
                <w:bCs/>
              </w:rPr>
            </w:pPr>
          </w:p>
        </w:tc>
        <w:tc>
          <w:tcPr>
            <w:tcW w:w="510" w:type="dxa"/>
            <w:vMerge w:val="continue"/>
            <w:vAlign w:val="center"/>
          </w:tcPr>
          <w:p>
            <w:pPr>
              <w:adjustRightInd w:val="0"/>
              <w:snapToGrid w:val="0"/>
              <w:spacing w:line="320" w:lineRule="exact"/>
              <w:jc w:val="center"/>
              <w:rPr>
                <w:rFonts w:hint="eastAsia" w:ascii="仿宋_GB2312" w:eastAsia="仿宋_GB2312"/>
                <w:b/>
                <w:bCs/>
              </w:rPr>
            </w:pPr>
          </w:p>
        </w:tc>
        <w:tc>
          <w:tcPr>
            <w:tcW w:w="885" w:type="dxa"/>
            <w:vMerge w:val="continue"/>
            <w:vAlign w:val="center"/>
          </w:tcPr>
          <w:p>
            <w:pPr>
              <w:adjustRightInd w:val="0"/>
              <w:snapToGrid w:val="0"/>
              <w:spacing w:line="320" w:lineRule="exact"/>
              <w:jc w:val="center"/>
              <w:rPr>
                <w:rFonts w:hint="eastAsia" w:ascii="仿宋_GB2312" w:eastAsia="仿宋_GB2312"/>
                <w:b/>
                <w:bCs/>
              </w:rPr>
            </w:pPr>
          </w:p>
        </w:tc>
        <w:tc>
          <w:tcPr>
            <w:tcW w:w="765" w:type="dxa"/>
            <w:vMerge w:val="continue"/>
            <w:vAlign w:val="center"/>
          </w:tcPr>
          <w:p>
            <w:pPr>
              <w:adjustRightInd w:val="0"/>
              <w:snapToGrid w:val="0"/>
              <w:spacing w:line="320" w:lineRule="exact"/>
              <w:jc w:val="center"/>
              <w:rPr>
                <w:rFonts w:hint="eastAsia" w:ascii="仿宋_GB2312" w:eastAsia="仿宋_GB2312"/>
                <w:b/>
                <w:bCs/>
              </w:rPr>
            </w:pPr>
          </w:p>
        </w:tc>
        <w:tc>
          <w:tcPr>
            <w:tcW w:w="780" w:type="dxa"/>
            <w:vMerge w:val="continue"/>
            <w:vAlign w:val="center"/>
          </w:tcPr>
          <w:p>
            <w:pPr>
              <w:adjustRightInd w:val="0"/>
              <w:snapToGrid w:val="0"/>
              <w:spacing w:line="320" w:lineRule="exact"/>
              <w:jc w:val="center"/>
              <w:rPr>
                <w:rFonts w:hint="eastAsia" w:ascii="仿宋_GB2312" w:eastAsia="仿宋_GB2312"/>
                <w:b/>
                <w:bCs/>
              </w:rPr>
            </w:pPr>
          </w:p>
        </w:tc>
        <w:tc>
          <w:tcPr>
            <w:tcW w:w="97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76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09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59"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654"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594" w:type="dxa"/>
            <w:vAlign w:val="center"/>
          </w:tcPr>
          <w:p>
            <w:pPr>
              <w:spacing w:line="320" w:lineRule="exact"/>
              <w:ind w:left="44" w:right="-53" w:rightChars="-25" w:hanging="44" w:hangingChars="21"/>
              <w:jc w:val="center"/>
              <w:rPr>
                <w:rFonts w:hint="eastAsia" w:ascii="仿宋_GB2312" w:eastAsia="仿宋_GB2312"/>
                <w:b/>
                <w:bCs/>
              </w:rPr>
            </w:pPr>
          </w:p>
          <w:p>
            <w:pPr>
              <w:autoSpaceDE w:val="0"/>
              <w:autoSpaceDN w:val="0"/>
              <w:adjustRightInd w:val="0"/>
              <w:spacing w:line="240" w:lineRule="exact"/>
              <w:jc w:val="center"/>
              <w:rPr>
                <w:rFonts w:hint="eastAsia" w:ascii="仿宋_GB2312" w:eastAsia="仿宋_GB2312"/>
                <w:b/>
                <w:bCs/>
                <w:lang w:eastAsia="zh-CN"/>
              </w:rPr>
            </w:pPr>
            <w:r>
              <w:rPr>
                <w:rFonts w:hint="eastAsia" w:eastAsia="仿宋_GB2312"/>
                <w:b/>
                <w:szCs w:val="21"/>
              </w:rPr>
              <w:t>建筑</w:t>
            </w:r>
            <w:r>
              <w:rPr>
                <w:rFonts w:hint="eastAsia" w:eastAsia="仿宋_GB2312"/>
                <w:b/>
                <w:szCs w:val="21"/>
                <w:lang w:eastAsia="zh-CN"/>
              </w:rPr>
              <w:t>高度控制</w:t>
            </w:r>
          </w:p>
        </w:tc>
        <w:tc>
          <w:tcPr>
            <w:tcW w:w="672"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适建性</w:t>
            </w: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98" w:type="dxa"/>
            <w:tcMar>
              <w:left w:w="0" w:type="dxa"/>
              <w:right w:w="0" w:type="dxa"/>
            </w:tcMar>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GP2020-49</w:t>
            </w:r>
          </w:p>
        </w:tc>
        <w:tc>
          <w:tcPr>
            <w:tcW w:w="51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惠州市</w:t>
            </w:r>
            <w:bookmarkStart w:id="0" w:name="_GoBack"/>
            <w:bookmarkEnd w:id="0"/>
            <w:r>
              <w:rPr>
                <w:rFonts w:hint="eastAsia" w:ascii="仿宋_GB2312" w:eastAsia="仿宋_GB2312"/>
                <w:szCs w:val="21"/>
                <w:lang w:val="en-US" w:eastAsia="zh-CN"/>
              </w:rPr>
              <w:t>惠城区江北中心区</w:t>
            </w:r>
          </w:p>
        </w:tc>
        <w:tc>
          <w:tcPr>
            <w:tcW w:w="88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JBN-16-02-01</w:t>
            </w:r>
          </w:p>
        </w:tc>
        <w:tc>
          <w:tcPr>
            <w:tcW w:w="765" w:type="dxa"/>
            <w:tcMar>
              <w:left w:w="0" w:type="dxa"/>
              <w:right w:w="0" w:type="dxa"/>
            </w:tcMar>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交通服务场站用地及商服用地</w:t>
            </w:r>
          </w:p>
        </w:tc>
        <w:tc>
          <w:tcPr>
            <w:tcW w:w="78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1751.69</w:t>
            </w:r>
          </w:p>
        </w:tc>
        <w:tc>
          <w:tcPr>
            <w:tcW w:w="97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2606.87</w:t>
            </w:r>
          </w:p>
        </w:tc>
        <w:tc>
          <w:tcPr>
            <w:tcW w:w="720" w:type="dxa"/>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w:t>
            </w:r>
            <w:r>
              <w:rPr>
                <w:rFonts w:hint="eastAsia" w:ascii="仿宋_GB2312" w:eastAsia="仿宋_GB2312"/>
                <w:szCs w:val="21"/>
                <w:lang w:val="en-US" w:eastAsia="zh-CN"/>
              </w:rPr>
              <w:t>67</w:t>
            </w:r>
          </w:p>
        </w:tc>
        <w:tc>
          <w:tcPr>
            <w:tcW w:w="765" w:type="dxa"/>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w:t>
            </w:r>
            <w:r>
              <w:rPr>
                <w:rFonts w:hint="eastAsia" w:ascii="仿宋_GB2312" w:eastAsia="仿宋_GB2312"/>
                <w:szCs w:val="21"/>
                <w:lang w:val="en-US" w:eastAsia="zh-CN"/>
              </w:rPr>
              <w:t>4.0</w:t>
            </w:r>
          </w:p>
        </w:tc>
        <w:tc>
          <w:tcPr>
            <w:tcW w:w="1095" w:type="dxa"/>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≤1</w:t>
            </w:r>
            <w:r>
              <w:rPr>
                <w:rFonts w:hint="eastAsia" w:ascii="仿宋_GB2312" w:eastAsia="仿宋_GB2312"/>
                <w:szCs w:val="21"/>
                <w:lang w:val="en-US" w:eastAsia="zh-CN"/>
              </w:rPr>
              <w:t>0428</w:t>
            </w:r>
            <w:r>
              <w:rPr>
                <w:rFonts w:hint="default" w:ascii="仿宋_GB2312" w:eastAsia="仿宋_GB2312"/>
                <w:szCs w:val="21"/>
                <w:lang w:val="en-US" w:eastAsia="zh-CN"/>
              </w:rPr>
              <w:t>㎡(其中：</w:t>
            </w:r>
            <w:r>
              <w:rPr>
                <w:rFonts w:hint="eastAsia" w:ascii="仿宋_GB2312" w:eastAsia="仿宋_GB2312"/>
                <w:szCs w:val="21"/>
                <w:lang w:val="en-US" w:eastAsia="zh-CN"/>
              </w:rPr>
              <w:t>办公</w:t>
            </w:r>
            <w:r>
              <w:rPr>
                <w:rFonts w:hint="default" w:ascii="仿宋_GB2312" w:eastAsia="仿宋_GB2312"/>
                <w:szCs w:val="21"/>
                <w:lang w:val="en-US" w:eastAsia="zh-CN"/>
              </w:rPr>
              <w:t>建筑面积≤</w:t>
            </w:r>
            <w:r>
              <w:rPr>
                <w:rFonts w:hint="eastAsia" w:ascii="仿宋_GB2312" w:eastAsia="仿宋_GB2312"/>
                <w:szCs w:val="21"/>
                <w:lang w:val="en-US" w:eastAsia="zh-CN"/>
              </w:rPr>
              <w:t>3000</w:t>
            </w:r>
          </w:p>
        </w:tc>
        <w:tc>
          <w:tcPr>
            <w:tcW w:w="105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地上机械式停车位≥260个（其中办公配建停车位≥30个）</w:t>
            </w:r>
          </w:p>
        </w:tc>
        <w:tc>
          <w:tcPr>
            <w:tcW w:w="654" w:type="dxa"/>
            <w:vAlign w:val="center"/>
          </w:tcPr>
          <w:p>
            <w:pPr>
              <w:jc w:val="center"/>
              <w:rPr>
                <w:rFonts w:hint="default" w:ascii="仿宋_GB2312" w:eastAsia="仿宋_GB2312"/>
                <w:szCs w:val="21"/>
                <w:lang w:val="en-US" w:eastAsia="zh-CN"/>
              </w:rPr>
            </w:pPr>
            <w:r>
              <w:rPr>
                <w:rFonts w:hint="default" w:ascii="仿宋_GB2312" w:eastAsia="仿宋_GB2312"/>
                <w:szCs w:val="21"/>
                <w:lang w:val="en-US" w:eastAsia="zh-CN"/>
              </w:rPr>
              <w:t>≥</w:t>
            </w:r>
            <w:r>
              <w:rPr>
                <w:rFonts w:hint="eastAsia" w:ascii="仿宋_GB2312" w:eastAsia="仿宋_GB2312"/>
                <w:szCs w:val="21"/>
                <w:lang w:val="en-US" w:eastAsia="zh-CN"/>
              </w:rPr>
              <w:t>20</w:t>
            </w:r>
          </w:p>
        </w:tc>
        <w:tc>
          <w:tcPr>
            <w:tcW w:w="594" w:type="dxa"/>
            <w:vAlign w:val="center"/>
          </w:tcPr>
          <w:p>
            <w:pPr>
              <w:jc w:val="center"/>
              <w:rPr>
                <w:rFonts w:hint="eastAsia" w:ascii="仿宋_GB2312" w:eastAsia="仿宋_GB2312"/>
                <w:szCs w:val="21"/>
                <w:lang w:val="en-US" w:eastAsia="zh-CN"/>
              </w:rPr>
            </w:pPr>
            <w:r>
              <w:rPr>
                <w:rFonts w:hint="default" w:ascii="仿宋_GB2312" w:eastAsia="仿宋_GB2312"/>
                <w:szCs w:val="21"/>
                <w:lang w:val="en-US" w:eastAsia="zh-CN"/>
              </w:rPr>
              <w:t>≤</w:t>
            </w:r>
            <w:r>
              <w:rPr>
                <w:rFonts w:hint="eastAsia" w:ascii="仿宋_GB2312" w:eastAsia="仿宋_GB2312"/>
                <w:szCs w:val="21"/>
                <w:lang w:val="en-US" w:eastAsia="zh-CN"/>
              </w:rPr>
              <w:t>24m</w:t>
            </w:r>
          </w:p>
        </w:tc>
        <w:tc>
          <w:tcPr>
            <w:tcW w:w="672"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办公及社会停车库</w:t>
            </w:r>
          </w:p>
        </w:tc>
        <w:tc>
          <w:tcPr>
            <w:tcW w:w="86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交通服务场站用地50年、商服用地40年</w:t>
            </w:r>
          </w:p>
        </w:tc>
      </w:tr>
    </w:tbl>
    <w:p>
      <w:pPr>
        <w:tabs>
          <w:tab w:val="left" w:pos="11340"/>
        </w:tabs>
        <w:spacing w:line="600" w:lineRule="exact"/>
        <w:rPr>
          <w:rFonts w:hint="eastAsia" w:ascii="仿宋_GB2312" w:eastAsia="仿宋_GB2312"/>
          <w:sz w:val="32"/>
          <w:szCs w:val="32"/>
        </w:rPr>
      </w:pP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- 9 -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47C6E"/>
    <w:rsid w:val="029A2309"/>
    <w:rsid w:val="08BB643C"/>
    <w:rsid w:val="17B6209E"/>
    <w:rsid w:val="18EC3553"/>
    <w:rsid w:val="1E4720A6"/>
    <w:rsid w:val="21DD25D4"/>
    <w:rsid w:val="3F4112CE"/>
    <w:rsid w:val="49B43499"/>
    <w:rsid w:val="4D6C2C10"/>
    <w:rsid w:val="524E267B"/>
    <w:rsid w:val="57F224D9"/>
    <w:rsid w:val="5BB53EEB"/>
    <w:rsid w:val="69195765"/>
    <w:rsid w:val="6C74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2020-11-17T08:28:00Z</dcterms:created>
  <dc:creator>Administrator</dc:creator>
  <cp:lastModifiedBy>黄春枚</cp:lastModifiedBy>
  <cp:lastPrinted>2020-11-18T02:54:00Z</cp:lastPrinted>
  <dcterms:modified xsi:type="dcterms:W3CDTF">2020-11-18T08:47:09Z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