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ascii="方正小标宋_GBK" w:hAnsi="华文中宋" w:eastAsia="方正小标宋_GBK"/>
          <w:b/>
          <w:bCs/>
          <w:spacing w:val="3"/>
          <w:sz w:val="44"/>
          <w:szCs w:val="44"/>
        </w:rPr>
      </w:pPr>
    </w:p>
    <w:p>
      <w:pPr>
        <w:tabs>
          <w:tab w:val="left" w:pos="11340"/>
        </w:tabs>
        <w:spacing w:line="520" w:lineRule="exact"/>
        <w:rPr>
          <w:rFonts w:ascii="方正小标宋_GBK" w:hAnsi="华文中宋" w:eastAsia="方正小标宋_GBK"/>
          <w:b/>
          <w:bCs/>
          <w:spacing w:val="3"/>
          <w:sz w:val="44"/>
          <w:szCs w:val="44"/>
        </w:rPr>
      </w:pPr>
    </w:p>
    <w:p>
      <w:pPr>
        <w:tabs>
          <w:tab w:val="left" w:pos="11340"/>
        </w:tabs>
        <w:spacing w:line="520" w:lineRule="exact"/>
        <w:rPr>
          <w:rFonts w:ascii="方正小标宋_GBK" w:hAnsi="华文中宋" w:eastAsia="方正小标宋_GBK"/>
          <w:b/>
          <w:bCs/>
          <w:spacing w:val="3"/>
          <w:sz w:val="44"/>
          <w:szCs w:val="44"/>
        </w:rPr>
      </w:pPr>
    </w:p>
    <w:p>
      <w:pPr>
        <w:tabs>
          <w:tab w:val="left" w:pos="11340"/>
        </w:tabs>
        <w:spacing w:line="520" w:lineRule="exact"/>
        <w:rPr>
          <w:rFonts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jc w:val="cente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]0</w:t>
      </w:r>
      <w:r>
        <w:rPr>
          <w:rFonts w:hint="eastAsia" w:ascii="仿宋_GB2312" w:eastAsia="仿宋_GB2312"/>
          <w:sz w:val="32"/>
          <w:szCs w:val="32"/>
          <w:lang w:val="en-US" w:eastAsia="zh-CN"/>
        </w:rPr>
        <w:t>32</w:t>
      </w:r>
      <w:r>
        <w:rPr>
          <w:rFonts w:hint="eastAsia" w:ascii="仿宋_GB2312" w:eastAsia="仿宋_GB2312"/>
          <w:sz w:val="32"/>
          <w:szCs w:val="32"/>
        </w:rPr>
        <w:t>号</w:t>
      </w:r>
    </w:p>
    <w:p>
      <w:pPr>
        <w:spacing w:line="520" w:lineRule="exact"/>
        <w:ind w:firstLine="360" w:firstLineChars="200"/>
        <w:rPr>
          <w:rFonts w:ascii="仿宋_GB2312" w:eastAsia="仿宋_GB2312"/>
          <w:sz w:val="18"/>
          <w:szCs w:val="18"/>
        </w:rPr>
      </w:pP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惠城区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N/>
        <w:bidi w:val="0"/>
        <w:spacing w:line="560" w:lineRule="exact"/>
        <w:ind w:firstLine="720" w:firstLineChars="22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N/>
        <w:bidi w:val="0"/>
        <w:spacing w:line="560" w:lineRule="exact"/>
        <w:ind w:left="319" w:leftChars="152" w:firstLine="400" w:firstLineChars="12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日9时至20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日10时。</w:t>
      </w:r>
    </w:p>
    <w:p>
      <w:pPr>
        <w:keepNext w:val="0"/>
        <w:keepLines w:val="0"/>
        <w:pageBreakBefore w:val="0"/>
        <w:widowControl w:val="0"/>
        <w:kinsoku/>
        <w:wordWrap/>
        <w:overflowPunct/>
        <w:topLinePunct w:val="0"/>
        <w:autoSpaceDN/>
        <w:bidi w:val="0"/>
        <w:spacing w:line="560" w:lineRule="exact"/>
        <w:ind w:firstLine="720" w:firstLineChars="22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1900</w:t>
      </w:r>
      <w:r>
        <w:rPr>
          <w:rFonts w:hint="eastAsia" w:ascii="仿宋_GB2312" w:hAnsi="仿宋_GB2312" w:eastAsia="仿宋_GB2312" w:cs="仿宋_GB2312"/>
          <w:sz w:val="32"/>
          <w:szCs w:val="32"/>
        </w:rPr>
        <w:t>万元,每次报价加价幅度为人民币50万元的整数倍。</w:t>
      </w:r>
    </w:p>
    <w:p>
      <w:pPr>
        <w:keepNext w:val="0"/>
        <w:keepLines w:val="0"/>
        <w:pageBreakBefore w:val="0"/>
        <w:widowControl w:val="0"/>
        <w:kinsoku/>
        <w:wordWrap/>
        <w:overflowPunct/>
        <w:topLinePunct w:val="0"/>
        <w:autoSpaceDN/>
        <w:bidi w:val="0"/>
        <w:spacing w:line="560" w:lineRule="exact"/>
        <w:ind w:firstLine="720" w:firstLineChars="22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9"/>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N/>
        <w:bidi w:val="0"/>
        <w:spacing w:before="0" w:line="560" w:lineRule="exact"/>
        <w:jc w:val="both"/>
        <w:textAlignment w:val="auto"/>
        <w:outlineLvl w:val="9"/>
        <w:rPr>
          <w:rFonts w:hAnsi="仿宋_GB2312" w:cs="仿宋_GB2312"/>
          <w:szCs w:val="32"/>
        </w:rPr>
      </w:pPr>
      <w:r>
        <w:rPr>
          <w:rFonts w:hint="eastAsia" w:hAnsi="仿宋_GB2312" w:cs="仿宋_GB2312"/>
          <w:szCs w:val="32"/>
        </w:rPr>
        <w:t>五、申请人应具备的其他条件：</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570</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（二）竞得人在用地红线内开发建设必须符合城市规划要求，必须按</w:t>
      </w:r>
      <w:r>
        <w:rPr>
          <w:rFonts w:hint="eastAsia" w:hAnsi="仿宋_GB2312" w:cs="仿宋_GB2312"/>
          <w:szCs w:val="32"/>
          <w:lang w:eastAsia="zh-CN"/>
        </w:rPr>
        <w:t>上述建设方案的要求</w:t>
      </w:r>
      <w:r>
        <w:rPr>
          <w:rFonts w:hint="eastAsia" w:hAnsi="仿宋_GB2312" w:cs="仿宋_GB2312"/>
          <w:szCs w:val="32"/>
        </w:rPr>
        <w:t>进行规划设计。</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（三）存在下列违法违规违约行为之一的企业及其控股股东，不得参与竞买上述地块：</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1、存在伪造公文骗取用地和非法倒卖土地等犯罪行为的；</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2、存在非法转让土地使用权等违法行为的；</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3、因企业原因造成土地闲置一年以上且至报名日止未处罚完结的；</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5、至报名日止仍拖欠政府地价款的;</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6、被列入问题楼盘开发企业黑名单的;</w:t>
      </w:r>
    </w:p>
    <w:p>
      <w:pPr>
        <w:pStyle w:val="3"/>
        <w:keepNext w:val="0"/>
        <w:keepLines w:val="0"/>
        <w:pageBreakBefore w:val="0"/>
        <w:widowControl w:val="0"/>
        <w:kinsoku/>
        <w:wordWrap/>
        <w:overflowPunct/>
        <w:topLinePunct w:val="0"/>
        <w:autoSpaceDN/>
        <w:bidi w:val="0"/>
        <w:spacing w:line="560" w:lineRule="exact"/>
        <w:jc w:val="both"/>
        <w:textAlignment w:val="auto"/>
        <w:outlineLvl w:val="9"/>
        <w:rPr>
          <w:rFonts w:hAnsi="仿宋_GB2312" w:cs="仿宋_GB2312"/>
          <w:szCs w:val="32"/>
        </w:rPr>
      </w:pPr>
      <w:r>
        <w:rPr>
          <w:rFonts w:hint="eastAsia" w:hAnsi="仿宋_GB2312" w:cs="仿宋_GB2312"/>
          <w:szCs w:val="32"/>
        </w:rPr>
        <w:t>7、存在其它被禁止竞买土地行为的。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六、本次国有建设用地使用权网上挂牌出让为无底价挂牌出让，按照价高者得的原则确定竞得人。</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八、有意竞买者可以自行到地块现场踏勘（可在网上挂牌交易系统查阅位置图和现状图）。</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九、申请人应当在网上挂牌出让结束前登陆惠州市公共资源交易中心土地与矿业网上挂牌交易系统并在系统上向惠州市公共资源交易中心提交竞买申请并支付保证金。网上挂牌保证金到账截止时间为20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日上午9时止。网上挂牌报价时间截止时，经系统询问，有竞买人表示愿意继续竞价的，系统自动进入网上限时竞价程序，通过竞价确定竞得人。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十一、竞得人签订《成交确认书》后，缴交的保证金中按成交价的20%转作定金，竞得人签订《出让合同》后，定金转作土地出让价款。</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十二、其它需要公告的事项</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（一）开发投资总额不少于</w:t>
      </w:r>
      <w:r>
        <w:rPr>
          <w:rFonts w:hint="eastAsia" w:ascii="仿宋_GB2312" w:hAnsi="仿宋" w:eastAsia="仿宋_GB2312"/>
          <w:color w:val="auto"/>
          <w:sz w:val="32"/>
          <w:szCs w:val="32"/>
          <w:lang w:val="en-US" w:eastAsia="zh-CN"/>
        </w:rPr>
        <w:t>550</w:t>
      </w:r>
      <w:r>
        <w:rPr>
          <w:rFonts w:hint="eastAsia" w:ascii="仿宋_GB2312" w:hAnsi="仿宋" w:eastAsia="仿宋_GB2312"/>
          <w:color w:val="auto"/>
          <w:sz w:val="32"/>
          <w:szCs w:val="32"/>
        </w:rPr>
        <w:t>00</w:t>
      </w:r>
      <w:r>
        <w:rPr>
          <w:rFonts w:hint="eastAsia" w:ascii="仿宋_GB2312" w:hAnsi="仿宋_GB2312" w:eastAsia="仿宋_GB2312" w:cs="仿宋_GB2312"/>
          <w:color w:val="auto"/>
          <w:sz w:val="32"/>
          <w:szCs w:val="32"/>
        </w:rPr>
        <w:t>万元（含地价）。</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outlineLvl w:val="9"/>
        <w:rPr>
          <w:rFonts w:ascii="仿宋" w:hAnsi="仿宋" w:eastAsia="仿宋"/>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（四）该地权利清晰，安置补偿落实到位，没有法律经济纠纷，具备动工开发所必须的基本条件。</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（五）项目规划建设方案</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所报总平面图的主要技术经济指标：规划布局1栋厂房2栋宿舍，建筑层数地上最高10层，地下1层，计算指标用地面积19481平方米，计容积率建筑面积58374平方米（其中宿舍建筑面积8792平方米，占比15%；厂房建筑面积49582平方米，占比85%），容积率3.0，总基底面积6827平方米（宿舍基底面积1191平方米，占用地面积比6%），建筑密度35%，停车位117个（地面10个，地下107个），绿地率20%。所报方案符合《建设用地规划条件》（PB20200026)相关指标要求，</w:t>
      </w:r>
      <w:r>
        <w:rPr>
          <w:rFonts w:hint="eastAsia" w:ascii="Times New Roman" w:hAnsi="Times New Roman" w:eastAsia="仿宋_GB2312" w:cs="Times New Roman"/>
          <w:color w:val="auto"/>
          <w:kern w:val="0"/>
          <w:sz w:val="32"/>
          <w:szCs w:val="32"/>
          <w:lang w:val="en-US" w:eastAsia="zh-CN"/>
        </w:rPr>
        <w:t>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（2）建设项目平面布置图详见附件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招商条件：本</w:t>
      </w:r>
      <w:r>
        <w:rPr>
          <w:rFonts w:hint="eastAsia" w:ascii="仿宋_GB2312" w:hAnsi="仿宋_GB2312" w:eastAsia="仿宋_GB2312" w:cs="仿宋_GB2312"/>
          <w:sz w:val="32"/>
          <w:szCs w:val="32"/>
        </w:rPr>
        <w:t>项目总投资规模不低于</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元,投资强度不低于</w:t>
      </w:r>
      <w:r>
        <w:rPr>
          <w:rFonts w:hint="eastAsia" w:ascii="仿宋_GB2312" w:hAnsi="仿宋_GB2312" w:eastAsia="仿宋_GB2312" w:cs="仿宋_GB2312"/>
          <w:sz w:val="32"/>
          <w:szCs w:val="32"/>
          <w:lang w:val="en-US" w:eastAsia="zh-CN"/>
        </w:rPr>
        <w:t>2.823365</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，土地产出率（营业收入）不低于</w:t>
      </w:r>
      <w:r>
        <w:rPr>
          <w:rFonts w:hint="eastAsia" w:ascii="仿宋_GB2312" w:hAnsi="仿宋_GB2312" w:eastAsia="仿宋_GB2312" w:cs="仿宋_GB2312"/>
          <w:sz w:val="32"/>
          <w:szCs w:val="32"/>
          <w:lang w:val="en-US" w:eastAsia="zh-CN"/>
        </w:rPr>
        <w:t>6.160069</w:t>
      </w:r>
      <w:r>
        <w:rPr>
          <w:rFonts w:hint="eastAsia" w:ascii="仿宋_GB2312" w:hAnsi="仿宋_GB2312" w:eastAsia="仿宋_GB2312" w:cs="仿宋_GB2312"/>
          <w:sz w:val="32"/>
          <w:szCs w:val="32"/>
          <w:lang w:eastAsia="zh-CN"/>
        </w:rPr>
        <w:t>亿元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/年，税</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产出不低于</w:t>
      </w:r>
      <w:r>
        <w:rPr>
          <w:rFonts w:hint="eastAsia" w:ascii="仿宋_GB2312" w:hAnsi="仿宋_GB2312" w:eastAsia="仿宋_GB2312" w:cs="仿宋_GB2312"/>
          <w:sz w:val="32"/>
          <w:szCs w:val="32"/>
          <w:lang w:val="en-US" w:eastAsia="zh-CN"/>
        </w:rPr>
        <w:t>0.123201</w:t>
      </w:r>
      <w:r>
        <w:rPr>
          <w:rFonts w:hint="eastAsia" w:ascii="仿宋_GB2312" w:hAnsi="仿宋_GB2312" w:eastAsia="仿宋_GB2312" w:cs="仿宋_GB2312"/>
          <w:sz w:val="32"/>
          <w:szCs w:val="32"/>
          <w:lang w:eastAsia="zh-CN"/>
        </w:rPr>
        <w:t>亿元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/年。其中，土地产出率及税收产出在项目投产后3年内逐年考核，3年内的平均值不得低于上述标准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w:t>
      </w:r>
      <w:r>
        <w:rPr>
          <w:rFonts w:hint="eastAsia" w:ascii="仿宋_GB2312" w:hAnsi="仿宋_GB2312" w:eastAsia="仿宋_GB2312" w:cs="仿宋_GB2312"/>
          <w:sz w:val="32"/>
          <w:szCs w:val="32"/>
          <w:lang w:val="en-US" w:eastAsia="zh-CN"/>
        </w:rPr>
        <w:t>惠城区小金口街道办事处</w:t>
      </w:r>
      <w:r>
        <w:rPr>
          <w:rFonts w:hint="eastAsia" w:ascii="仿宋_GB2312" w:hAnsi="仿宋_GB2312" w:eastAsia="仿宋_GB2312" w:cs="仿宋_GB2312"/>
          <w:sz w:val="32"/>
          <w:szCs w:val="32"/>
        </w:rPr>
        <w:t>提交项目投资计划书和时间安排表，并按月向</w:t>
      </w:r>
      <w:r>
        <w:rPr>
          <w:rFonts w:hint="eastAsia" w:ascii="仿宋_GB2312" w:hAnsi="仿宋_GB2312" w:eastAsia="仿宋_GB2312" w:cs="仿宋_GB2312"/>
          <w:sz w:val="32"/>
          <w:szCs w:val="32"/>
          <w:lang w:val="en-US" w:eastAsia="zh-CN"/>
        </w:rPr>
        <w:t>惠城区小金口街道办事处</w:t>
      </w:r>
      <w:r>
        <w:rPr>
          <w:rFonts w:hint="eastAsia" w:ascii="仿宋_GB2312" w:hAnsi="仿宋_GB2312" w:eastAsia="仿宋_GB2312" w:cs="仿宋_GB2312"/>
          <w:sz w:val="32"/>
          <w:szCs w:val="32"/>
        </w:rPr>
        <w:t>书面报告项目进展情况，直至项目投产。</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竞得人在签订《成交确认书》前，须与</w:t>
      </w:r>
      <w:r>
        <w:rPr>
          <w:rFonts w:hint="eastAsia" w:ascii="仿宋_GB2312" w:hAnsi="仿宋" w:eastAsia="仿宋_GB2312"/>
          <w:color w:val="auto"/>
          <w:sz w:val="32"/>
          <w:szCs w:val="32"/>
        </w:rPr>
        <w:t>惠城区</w:t>
      </w:r>
      <w:r>
        <w:rPr>
          <w:rFonts w:hint="eastAsia" w:ascii="仿宋_GB2312" w:hAnsi="仿宋" w:eastAsia="仿宋_GB2312"/>
          <w:color w:val="auto"/>
          <w:sz w:val="32"/>
          <w:szCs w:val="32"/>
          <w:lang w:eastAsia="zh-CN"/>
        </w:rPr>
        <w:t>小金口街道办事</w:t>
      </w:r>
      <w:r>
        <w:rPr>
          <w:rFonts w:hint="eastAsia" w:ascii="仿宋_GB2312" w:hAnsi="仿宋" w:eastAsia="仿宋_GB2312"/>
          <w:sz w:val="32"/>
          <w:szCs w:val="32"/>
          <w:lang w:eastAsia="zh-CN"/>
        </w:rPr>
        <w:t>处</w:t>
      </w:r>
      <w:r>
        <w:rPr>
          <w:rFonts w:hint="eastAsia" w:ascii="仿宋_GB2312" w:hAnsi="仿宋" w:eastAsia="仿宋_GB2312"/>
          <w:sz w:val="32"/>
          <w:szCs w:val="32"/>
        </w:rPr>
        <w:t>签订《惠城区工业项目土地建设和使用监管协议书》，并由</w:t>
      </w:r>
      <w:r>
        <w:rPr>
          <w:rFonts w:hint="eastAsia" w:ascii="仿宋_GB2312" w:hAnsi="仿宋" w:eastAsia="仿宋_GB2312"/>
          <w:color w:val="auto"/>
          <w:sz w:val="32"/>
          <w:szCs w:val="32"/>
          <w:lang w:eastAsia="zh-CN"/>
        </w:rPr>
        <w:t>惠城区小金口街道办事处</w:t>
      </w:r>
      <w:r>
        <w:rPr>
          <w:rFonts w:hint="eastAsia" w:ascii="仿宋_GB2312" w:hAnsi="仿宋" w:eastAsia="仿宋_GB2312"/>
          <w:sz w:val="32"/>
          <w:szCs w:val="32"/>
        </w:rPr>
        <w:t>对项目用地实施批后监管;</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（九）挂牌出让价款不含应由竞得人缴纳的契税、印花税等有关费用。</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十三、该宗地使用网上挂牌方式出让，交易全程适用《惠州市国有建设用地使用权和矿业权电子挂牌交易规则》（惠府〔2014〕167号）。</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十四、联系方式：</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（一）惠州市自然资源局</w:t>
      </w:r>
      <w:r>
        <w:rPr>
          <w:rFonts w:hint="eastAsia" w:ascii="仿宋_GB2312" w:hAnsi="仿宋_GB2312" w:eastAsia="仿宋_GB2312" w:cs="仿宋_GB2312"/>
          <w:sz w:val="32"/>
          <w:szCs w:val="32"/>
          <w:lang w:val="en-US" w:eastAsia="zh-CN"/>
        </w:rPr>
        <w:t>惠城分局</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股</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下埔路16号</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邱小姐</w:t>
      </w:r>
    </w:p>
    <w:p>
      <w:pPr>
        <w:spacing w:line="520" w:lineRule="exact"/>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eastAsia="仿宋_GB2312"/>
          <w:sz w:val="32"/>
          <w:szCs w:val="32"/>
        </w:rPr>
        <w:t>（0752）</w:t>
      </w:r>
      <w:r>
        <w:rPr>
          <w:rFonts w:hint="eastAsia" w:ascii="仿宋_GB2312" w:eastAsia="仿宋_GB2312"/>
          <w:sz w:val="32"/>
          <w:szCs w:val="32"/>
          <w:lang w:val="en-US" w:eastAsia="zh-CN"/>
        </w:rPr>
        <w:t>2117378</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）联系地址：广东省惠州市江北文华一路2号大隆大厦6楼</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hint="default" w:eastAsia="仿宋_GB2312"/>
          <w:lang w:val="en-US" w:eastAsia="zh-CN"/>
        </w:rPr>
      </w:pPr>
      <w:r>
        <w:rPr>
          <w:rFonts w:hint="eastAsia" w:ascii="仿宋_GB2312" w:hAnsi="仿宋_GB2312" w:eastAsia="仿宋_GB2312" w:cs="仿宋_GB2312"/>
          <w:sz w:val="32"/>
          <w:szCs w:val="32"/>
        </w:rPr>
        <w:t>联系人：</w:t>
      </w:r>
      <w:r>
        <w:rPr>
          <w:rFonts w:hint="eastAsia" w:ascii="仿宋_GB2312" w:eastAsia="仿宋_GB2312"/>
          <w:sz w:val="32"/>
          <w:szCs w:val="32"/>
        </w:rPr>
        <w:t>袁小姐、</w:t>
      </w:r>
      <w:r>
        <w:rPr>
          <w:rFonts w:hint="eastAsia" w:ascii="仿宋_GB2312" w:eastAsia="仿宋_GB2312"/>
          <w:sz w:val="32"/>
          <w:szCs w:val="32"/>
          <w:lang w:val="en-US" w:eastAsia="zh-CN"/>
        </w:rPr>
        <w:t>黄小姐</w:t>
      </w:r>
    </w:p>
    <w:p>
      <w:pPr>
        <w:keepNext w:val="0"/>
        <w:keepLines w:val="0"/>
        <w:pageBreakBefore w:val="0"/>
        <w:widowControl w:val="0"/>
        <w:kinsoku/>
        <w:wordWrap/>
        <w:overflowPunct/>
        <w:topLinePunct w:val="0"/>
        <w:autoSpaceDN/>
        <w:bidi w:val="0"/>
        <w:spacing w:line="560" w:lineRule="exact"/>
        <w:ind w:firstLine="64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rPr>
        <w:t>联系电话：</w:t>
      </w:r>
      <w:r>
        <w:rPr>
          <w:rFonts w:hint="eastAsia" w:ascii="仿宋_GB2312" w:eastAsia="仿宋_GB2312"/>
          <w:sz w:val="32"/>
          <w:szCs w:val="32"/>
        </w:rPr>
        <w:t>（0752）7121026、7121042</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fldChar w:fldCharType="begin"/>
      </w:r>
      <w:r>
        <w:instrText xml:space="preserve"> HYPERLINK "http://www.landgd.com" </w:instrText>
      </w:r>
      <w: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fldChar w:fldCharType="begin"/>
      </w:r>
      <w:r>
        <w:instrText xml:space="preserve"> HYPERLINK "http://zyjy.huizhou.gov.cn" </w:instrText>
      </w:r>
      <w: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惠州日报。</w:t>
      </w:r>
    </w:p>
    <w:p>
      <w:pPr>
        <w:keepNext w:val="0"/>
        <w:keepLines w:val="0"/>
        <w:pageBreakBefore w:val="0"/>
        <w:widowControl w:val="0"/>
        <w:kinsoku/>
        <w:wordWrap/>
        <w:overflowPunct/>
        <w:topLinePunct w:val="0"/>
        <w:autoSpaceDN/>
        <w:bidi w:val="0"/>
        <w:spacing w:line="560" w:lineRule="exact"/>
        <w:ind w:left="487" w:leftChars="232"/>
        <w:textAlignment w:val="auto"/>
        <w:outlineLvl w:val="9"/>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惠州市惠城区自然资源局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jc w:val="center"/>
        <w:rPr>
          <w:rFonts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spacing w:line="360" w:lineRule="auto"/>
        <w:jc w:val="center"/>
        <w:rPr>
          <w:rFonts w:ascii="仿宋_GB2312" w:eastAsia="仿宋_GB2312"/>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hint="eastAsia" w:ascii="仿宋_GB2312" w:eastAsia="仿宋_GB2312"/>
          <w:b/>
          <w:bCs/>
          <w:sz w:val="32"/>
          <w:szCs w:val="32"/>
        </w:rPr>
      </w:pPr>
    </w:p>
    <w:p>
      <w:pPr>
        <w:spacing w:line="360" w:lineRule="auto"/>
        <w:rPr>
          <w:rFonts w:hint="eastAsia" w:ascii="仿宋_GB2312" w:eastAsia="仿宋_GB2312"/>
          <w:b/>
          <w:bCs/>
          <w:sz w:val="32"/>
          <w:szCs w:val="32"/>
        </w:rPr>
      </w:pPr>
    </w:p>
    <w:p>
      <w:pPr>
        <w:spacing w:line="360" w:lineRule="auto"/>
        <w:rPr>
          <w:rFonts w:ascii="仿宋_GB2312" w:eastAsia="仿宋_GB2312"/>
          <w:b/>
          <w:bCs/>
          <w:sz w:val="32"/>
          <w:szCs w:val="32"/>
        </w:rPr>
      </w:pPr>
      <w:r>
        <w:rPr>
          <w:rFonts w:hint="eastAsia" w:ascii="仿宋_GB2312" w:eastAsia="仿宋_GB2312"/>
          <w:b/>
          <w:bCs/>
          <w:sz w:val="32"/>
          <w:szCs w:val="32"/>
        </w:rPr>
        <w:t>附表：</w:t>
      </w:r>
    </w:p>
    <w:p>
      <w:pPr>
        <w:spacing w:line="360" w:lineRule="auto"/>
        <w:jc w:val="center"/>
        <w:rPr>
          <w:rFonts w:ascii="黑体" w:hAnsi="黑体" w:eastAsia="黑体"/>
          <w:b/>
          <w:bCs/>
          <w:sz w:val="36"/>
          <w:szCs w:val="36"/>
        </w:rPr>
      </w:pPr>
      <w:r>
        <w:rPr>
          <w:rFonts w:hint="eastAsia" w:ascii="黑体" w:hAnsi="黑体" w:eastAsia="黑体"/>
          <w:b/>
          <w:bCs/>
          <w:sz w:val="36"/>
          <w:szCs w:val="36"/>
        </w:rPr>
        <w:t>网上挂牌出让地块规划建设指标</w:t>
      </w:r>
    </w:p>
    <w:tbl>
      <w:tblPr>
        <w:tblStyle w:val="8"/>
        <w:tblW w:w="10118"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555"/>
        <w:gridCol w:w="705"/>
        <w:gridCol w:w="938"/>
        <w:gridCol w:w="915"/>
        <w:gridCol w:w="765"/>
        <w:gridCol w:w="825"/>
        <w:gridCol w:w="840"/>
        <w:gridCol w:w="1065"/>
        <w:gridCol w:w="91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挂牌地块编号</w:t>
            </w:r>
          </w:p>
        </w:tc>
        <w:tc>
          <w:tcPr>
            <w:tcW w:w="780" w:type="dxa"/>
            <w:vMerge w:val="restart"/>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土地</w:t>
            </w:r>
          </w:p>
          <w:p>
            <w:pPr>
              <w:spacing w:line="320" w:lineRule="exact"/>
              <w:jc w:val="center"/>
              <w:rPr>
                <w:rFonts w:ascii="仿宋_GB2312" w:eastAsia="仿宋_GB2312" w:cs="宋体"/>
                <w:b/>
                <w:bCs/>
                <w:sz w:val="24"/>
                <w:szCs w:val="24"/>
              </w:rPr>
            </w:pPr>
            <w:r>
              <w:rPr>
                <w:rFonts w:hint="eastAsia" w:ascii="仿宋_GB2312" w:eastAsia="仿宋_GB2312"/>
                <w:b/>
                <w:bCs/>
              </w:rPr>
              <w:t>位置</w:t>
            </w:r>
          </w:p>
        </w:tc>
        <w:tc>
          <w:tcPr>
            <w:tcW w:w="555" w:type="dxa"/>
            <w:vMerge w:val="restar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b/>
                <w:bCs/>
                <w:sz w:val="24"/>
                <w:szCs w:val="24"/>
              </w:rPr>
            </w:pPr>
            <w:r>
              <w:rPr>
                <w:rFonts w:hint="eastAsia" w:ascii="仿宋_GB2312" w:eastAsia="仿宋_GB2312"/>
                <w:b/>
                <w:bCs/>
              </w:rPr>
              <w:t>规划编号</w:t>
            </w:r>
          </w:p>
        </w:tc>
        <w:tc>
          <w:tcPr>
            <w:tcW w:w="705" w:type="dxa"/>
            <w:vMerge w:val="restart"/>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b/>
                <w:bCs/>
                <w:sz w:val="24"/>
                <w:szCs w:val="24"/>
              </w:rPr>
            </w:pPr>
            <w:r>
              <w:rPr>
                <w:rFonts w:hint="eastAsia" w:ascii="仿宋_GB2312" w:eastAsia="仿宋_GB2312"/>
                <w:b/>
                <w:bCs/>
              </w:rPr>
              <w:t>土地</w:t>
            </w:r>
          </w:p>
          <w:p>
            <w:pPr>
              <w:adjustRightInd w:val="0"/>
              <w:snapToGrid w:val="0"/>
              <w:spacing w:line="320" w:lineRule="exact"/>
              <w:jc w:val="center"/>
              <w:rPr>
                <w:rFonts w:ascii="仿宋_GB2312" w:eastAsia="仿宋_GB2312" w:cs="宋体"/>
                <w:b/>
                <w:bCs/>
                <w:sz w:val="24"/>
                <w:szCs w:val="24"/>
              </w:rPr>
            </w:pPr>
            <w:r>
              <w:rPr>
                <w:rFonts w:hint="eastAsia" w:ascii="仿宋_GB2312" w:eastAsia="仿宋_GB2312"/>
                <w:b/>
                <w:bCs/>
              </w:rPr>
              <w:t>用途</w:t>
            </w:r>
          </w:p>
        </w:tc>
        <w:tc>
          <w:tcPr>
            <w:tcW w:w="938" w:type="dxa"/>
            <w:vMerge w:val="restart"/>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宗地使用权面积（</w:t>
            </w:r>
            <w:r>
              <w:rPr>
                <w:rFonts w:hint="eastAsia" w:ascii="宋体" w:hAnsi="宋体"/>
                <w:b/>
                <w:bCs/>
              </w:rPr>
              <w:t>㎡</w:t>
            </w:r>
            <w:r>
              <w:rPr>
                <w:rFonts w:hint="eastAsia" w:ascii="仿宋_GB2312" w:eastAsia="仿宋_GB2312"/>
                <w:b/>
                <w:bCs/>
              </w:rPr>
              <w:t>）</w:t>
            </w:r>
          </w:p>
        </w:tc>
        <w:tc>
          <w:tcPr>
            <w:tcW w:w="4410"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ind w:left="-27" w:leftChars="-51" w:hanging="80" w:hangingChars="38"/>
              <w:jc w:val="center"/>
              <w:rPr>
                <w:rFonts w:ascii="仿宋_GB2312" w:eastAsia="仿宋_GB2312" w:cs="宋体"/>
                <w:b/>
                <w:bCs/>
                <w:sz w:val="24"/>
                <w:szCs w:val="24"/>
              </w:rPr>
            </w:pPr>
            <w:r>
              <w:rPr>
                <w:rFonts w:hint="eastAsia" w:ascii="仿宋_GB2312" w:eastAsia="仿宋_GB2312"/>
                <w:b/>
                <w:bCs/>
              </w:rPr>
              <w:t>规划指标要求</w:t>
            </w:r>
          </w:p>
        </w:tc>
        <w:tc>
          <w:tcPr>
            <w:tcW w:w="915" w:type="dxa"/>
            <w:vMerge w:val="restart"/>
            <w:tcBorders>
              <w:top w:val="single" w:color="auto" w:sz="4" w:space="0"/>
              <w:left w:val="nil"/>
              <w:bottom w:val="single" w:color="auto" w:sz="4" w:space="0"/>
              <w:right w:val="single" w:color="auto" w:sz="4" w:space="0"/>
            </w:tcBorders>
            <w:vAlign w:val="center"/>
          </w:tcPr>
          <w:p>
            <w:pPr>
              <w:adjustRightInd w:val="0"/>
              <w:snapToGrid w:val="0"/>
              <w:spacing w:line="320" w:lineRule="exact"/>
              <w:ind w:left="-27" w:leftChars="-51" w:hanging="80" w:hangingChars="38"/>
              <w:jc w:val="center"/>
              <w:rPr>
                <w:rFonts w:ascii="仿宋_GB2312" w:eastAsia="仿宋_GB2312" w:cs="宋体"/>
                <w:b/>
                <w:bCs/>
                <w:sz w:val="24"/>
                <w:szCs w:val="24"/>
              </w:rPr>
            </w:pPr>
            <w:r>
              <w:rPr>
                <w:rFonts w:hint="eastAsia" w:ascii="仿宋_GB2312" w:eastAsia="仿宋_GB2312"/>
                <w:b/>
                <w:bCs/>
              </w:rPr>
              <w:t>出让</w:t>
            </w:r>
          </w:p>
          <w:p>
            <w:pPr>
              <w:adjustRightInd w:val="0"/>
              <w:snapToGrid w:val="0"/>
              <w:spacing w:line="320" w:lineRule="exact"/>
              <w:ind w:left="-27" w:leftChars="-51" w:hanging="80" w:hangingChars="38"/>
              <w:jc w:val="center"/>
              <w:rPr>
                <w:rFonts w:ascii="仿宋_GB2312" w:eastAsia="仿宋_GB2312" w:cs="宋体"/>
                <w:b/>
                <w:bCs/>
                <w:sz w:val="24"/>
                <w:szCs w:val="24"/>
              </w:rPr>
            </w:pPr>
            <w:r>
              <w:rPr>
                <w:rFonts w:hint="eastAsia" w:ascii="仿宋_GB2312" w:eastAsia="仿宋_GB2312"/>
                <w:b/>
                <w:bCs/>
              </w:rPr>
              <w:t>年限</w:t>
            </w:r>
          </w:p>
        </w:tc>
        <w:tc>
          <w:tcPr>
            <w:tcW w:w="975" w:type="dxa"/>
            <w:vMerge w:val="restart"/>
            <w:tcBorders>
              <w:top w:val="single" w:color="auto" w:sz="4" w:space="0"/>
              <w:left w:val="nil"/>
              <w:bottom w:val="single" w:color="auto" w:sz="4" w:space="0"/>
              <w:right w:val="single" w:color="auto" w:sz="4" w:space="0"/>
            </w:tcBorders>
            <w:vAlign w:val="center"/>
          </w:tcPr>
          <w:p>
            <w:pPr>
              <w:adjustRightInd w:val="0"/>
              <w:snapToGrid w:val="0"/>
              <w:spacing w:line="320" w:lineRule="exact"/>
              <w:ind w:left="1" w:leftChars="-89" w:hanging="188" w:hangingChars="89"/>
              <w:jc w:val="center"/>
              <w:rPr>
                <w:rFonts w:ascii="仿宋_GB2312" w:eastAsia="仿宋_GB2312" w:cs="宋体"/>
                <w:b/>
                <w:bCs/>
                <w:sz w:val="24"/>
                <w:szCs w:val="24"/>
              </w:rPr>
            </w:pPr>
            <w:r>
              <w:rPr>
                <w:rFonts w:hint="eastAsia" w:ascii="仿宋_GB2312" w:eastAsia="仿宋_GB2312"/>
                <w:b/>
                <w:bCs/>
              </w:rPr>
              <w:t>产</w:t>
            </w:r>
          </w:p>
          <w:p>
            <w:pPr>
              <w:adjustRightInd w:val="0"/>
              <w:snapToGrid w:val="0"/>
              <w:spacing w:line="320" w:lineRule="exact"/>
              <w:ind w:left="1" w:leftChars="-89" w:hanging="188" w:hangingChars="89"/>
              <w:jc w:val="center"/>
              <w:rPr>
                <w:rFonts w:ascii="仿宋_GB2312" w:eastAsia="仿宋_GB2312"/>
                <w:b/>
                <w:bCs/>
              </w:rPr>
            </w:pPr>
            <w:r>
              <w:rPr>
                <w:rFonts w:hint="eastAsia" w:ascii="仿宋_GB2312" w:eastAsia="仿宋_GB2312"/>
                <w:b/>
                <w:bCs/>
              </w:rPr>
              <w:t>业</w:t>
            </w:r>
          </w:p>
          <w:p>
            <w:pPr>
              <w:adjustRightInd w:val="0"/>
              <w:snapToGrid w:val="0"/>
              <w:spacing w:line="320" w:lineRule="exact"/>
              <w:ind w:left="1" w:leftChars="-89" w:hanging="188" w:hangingChars="89"/>
              <w:jc w:val="center"/>
              <w:rPr>
                <w:rFonts w:ascii="仿宋_GB2312" w:eastAsia="仿宋_GB2312"/>
                <w:b/>
                <w:bCs/>
              </w:rPr>
            </w:pPr>
            <w:r>
              <w:rPr>
                <w:rFonts w:hint="eastAsia" w:ascii="仿宋_GB2312" w:eastAsia="仿宋_GB2312"/>
                <w:b/>
                <w:bCs/>
              </w:rPr>
              <w:t>类</w:t>
            </w:r>
          </w:p>
          <w:p>
            <w:pPr>
              <w:adjustRightInd w:val="0"/>
              <w:snapToGrid w:val="0"/>
              <w:spacing w:line="320" w:lineRule="exact"/>
              <w:ind w:left="1" w:leftChars="-89" w:hanging="188" w:hangingChars="89"/>
              <w:jc w:val="center"/>
              <w:rPr>
                <w:rFonts w:ascii="仿宋_GB2312" w:eastAsia="仿宋_GB2312" w:cs="宋体"/>
                <w:b/>
                <w:bCs/>
                <w:sz w:val="24"/>
                <w:szCs w:val="24"/>
              </w:rPr>
            </w:pPr>
            <w:r>
              <w:rPr>
                <w:rFonts w:hint="eastAsia" w:ascii="仿宋_GB2312" w:eastAsia="仿宋_GB2312"/>
                <w:b/>
                <w:bCs/>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宋体"/>
                <w:b/>
                <w:bCs/>
                <w:sz w:val="24"/>
                <w:szCs w:val="24"/>
              </w:rPr>
            </w:pPr>
          </w:p>
        </w:tc>
        <w:tc>
          <w:tcPr>
            <w:tcW w:w="780"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55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70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938"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91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计算指标用地面积（</w:t>
            </w:r>
            <w:r>
              <w:rPr>
                <w:rFonts w:hint="eastAsia" w:ascii="宋体" w:hAnsi="宋体"/>
                <w:b/>
                <w:bCs/>
              </w:rPr>
              <w:t>㎡</w:t>
            </w:r>
            <w:r>
              <w:rPr>
                <w:rFonts w:hint="eastAsia" w:ascii="仿宋_GB2312" w:eastAsia="仿宋_GB2312"/>
                <w:b/>
                <w:bCs/>
              </w:rPr>
              <w:t>）</w:t>
            </w:r>
          </w:p>
        </w:tc>
        <w:tc>
          <w:tcPr>
            <w:tcW w:w="76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bCs/>
                <w:sz w:val="24"/>
                <w:szCs w:val="24"/>
              </w:rPr>
            </w:pPr>
            <w:r>
              <w:rPr>
                <w:rFonts w:hint="eastAsia" w:ascii="仿宋_GB2312" w:eastAsia="仿宋_GB2312"/>
                <w:b/>
                <w:bCs/>
              </w:rPr>
              <w:t>容积率</w:t>
            </w:r>
          </w:p>
        </w:tc>
        <w:tc>
          <w:tcPr>
            <w:tcW w:w="825" w:type="dxa"/>
            <w:tcBorders>
              <w:top w:val="single" w:color="auto" w:sz="4" w:space="0"/>
              <w:left w:val="nil"/>
              <w:bottom w:val="single" w:color="auto" w:sz="4" w:space="0"/>
              <w:right w:val="single" w:color="auto" w:sz="4" w:space="0"/>
            </w:tcBorders>
            <w:vAlign w:val="center"/>
          </w:tcPr>
          <w:p>
            <w:pPr>
              <w:spacing w:line="320" w:lineRule="exact"/>
              <w:ind w:left="89" w:hanging="89" w:hangingChars="42"/>
              <w:jc w:val="center"/>
              <w:rPr>
                <w:rFonts w:ascii="仿宋_GB2312" w:eastAsia="仿宋_GB2312" w:cs="宋体"/>
                <w:b/>
                <w:bCs/>
                <w:sz w:val="24"/>
                <w:szCs w:val="24"/>
              </w:rPr>
            </w:pPr>
            <w:r>
              <w:rPr>
                <w:rFonts w:hint="eastAsia" w:ascii="仿宋_GB2312" w:eastAsia="仿宋_GB2312"/>
                <w:b/>
                <w:bCs/>
              </w:rPr>
              <w:t>建筑</w:t>
            </w:r>
          </w:p>
          <w:p>
            <w:pPr>
              <w:spacing w:line="320" w:lineRule="exact"/>
              <w:ind w:left="89" w:hanging="89" w:hangingChars="42"/>
              <w:jc w:val="center"/>
              <w:rPr>
                <w:rFonts w:ascii="仿宋_GB2312" w:eastAsia="仿宋_GB2312"/>
                <w:b/>
                <w:bCs/>
              </w:rPr>
            </w:pPr>
            <w:r>
              <w:rPr>
                <w:rFonts w:hint="eastAsia" w:ascii="仿宋_GB2312" w:eastAsia="仿宋_GB2312"/>
                <w:b/>
                <w:bCs/>
              </w:rPr>
              <w:t>密度</w:t>
            </w:r>
          </w:p>
          <w:p>
            <w:pPr>
              <w:spacing w:line="320" w:lineRule="exact"/>
              <w:ind w:left="46" w:right="-53" w:rightChars="-25" w:hanging="46" w:hangingChars="22"/>
              <w:jc w:val="center"/>
              <w:rPr>
                <w:rFonts w:ascii="仿宋_GB2312" w:eastAsia="仿宋_GB2312" w:cs="宋体"/>
                <w:b/>
                <w:bCs/>
                <w:sz w:val="24"/>
                <w:szCs w:val="24"/>
              </w:rPr>
            </w:pPr>
            <w:r>
              <w:rPr>
                <w:rFonts w:hint="eastAsia" w:ascii="仿宋_GB2312" w:eastAsia="仿宋_GB2312"/>
                <w:b/>
                <w:bCs/>
              </w:rPr>
              <w:t>（%）</w:t>
            </w:r>
          </w:p>
        </w:tc>
        <w:tc>
          <w:tcPr>
            <w:tcW w:w="840" w:type="dxa"/>
            <w:tcBorders>
              <w:top w:val="single" w:color="auto" w:sz="4" w:space="0"/>
              <w:left w:val="nil"/>
              <w:bottom w:val="single" w:color="auto" w:sz="4" w:space="0"/>
              <w:right w:val="single" w:color="auto" w:sz="4" w:space="0"/>
            </w:tcBorders>
            <w:vAlign w:val="center"/>
          </w:tcPr>
          <w:p>
            <w:pPr>
              <w:spacing w:line="320" w:lineRule="exact"/>
              <w:ind w:left="44" w:right="-53" w:rightChars="-25" w:hanging="44" w:hangingChars="21"/>
              <w:jc w:val="right"/>
              <w:rPr>
                <w:rFonts w:ascii="仿宋_GB2312" w:eastAsia="仿宋_GB2312" w:cs="宋体"/>
                <w:b/>
                <w:bCs/>
                <w:sz w:val="24"/>
                <w:szCs w:val="24"/>
              </w:rPr>
            </w:pPr>
            <w:r>
              <w:rPr>
                <w:rFonts w:hint="eastAsia" w:ascii="仿宋_GB2312" w:eastAsia="仿宋_GB2312"/>
                <w:b/>
                <w:bCs/>
              </w:rPr>
              <w:t>绿地率（%）</w:t>
            </w:r>
          </w:p>
        </w:tc>
        <w:tc>
          <w:tcPr>
            <w:tcW w:w="1065" w:type="dxa"/>
            <w:tcBorders>
              <w:top w:val="single" w:color="auto" w:sz="4" w:space="0"/>
              <w:left w:val="nil"/>
              <w:bottom w:val="single" w:color="auto" w:sz="4" w:space="0"/>
              <w:right w:val="single" w:color="auto" w:sz="4" w:space="0"/>
            </w:tcBorders>
            <w:vAlign w:val="center"/>
          </w:tcPr>
          <w:p>
            <w:pPr>
              <w:spacing w:line="320" w:lineRule="exact"/>
              <w:ind w:left="44" w:right="-53" w:rightChars="-25" w:hanging="44" w:hangingChars="21"/>
              <w:jc w:val="center"/>
              <w:rPr>
                <w:rFonts w:ascii="仿宋_GB2312" w:eastAsia="仿宋_GB2312" w:cs="宋体"/>
                <w:b/>
                <w:bCs/>
                <w:sz w:val="24"/>
                <w:szCs w:val="24"/>
              </w:rPr>
            </w:pPr>
            <w:r>
              <w:rPr>
                <w:rFonts w:hint="eastAsia" w:ascii="仿宋_GB2312" w:eastAsia="仿宋_GB2312"/>
                <w:b/>
                <w:bCs/>
              </w:rPr>
              <w:t>计容积率建筑总面积（</w:t>
            </w:r>
            <w:r>
              <w:rPr>
                <w:rFonts w:hint="eastAsia" w:ascii="宋体" w:hAnsi="宋体"/>
                <w:b/>
                <w:bCs/>
              </w:rPr>
              <w:t>㎡</w:t>
            </w:r>
            <w:r>
              <w:rPr>
                <w:rFonts w:hint="eastAsia" w:ascii="仿宋_GB2312" w:eastAsia="仿宋_GB2312"/>
                <w:b/>
                <w:bCs/>
              </w:rPr>
              <w:t>）</w:t>
            </w:r>
          </w:p>
        </w:tc>
        <w:tc>
          <w:tcPr>
            <w:tcW w:w="91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c>
          <w:tcPr>
            <w:tcW w:w="975" w:type="dxa"/>
            <w:vMerge w:val="continue"/>
            <w:tcBorders>
              <w:top w:val="single" w:color="auto" w:sz="4" w:space="0"/>
              <w:left w:val="nil"/>
              <w:bottom w:val="single" w:color="auto" w:sz="4" w:space="0"/>
              <w:right w:val="single" w:color="auto" w:sz="4" w:space="0"/>
            </w:tcBorders>
            <w:vAlign w:val="center"/>
          </w:tcPr>
          <w:p>
            <w:pPr>
              <w:rPr>
                <w:rFonts w:ascii="仿宋_GB2312" w:eastAsia="仿宋_GB2312"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trPr>
        <w:tc>
          <w:tcPr>
            <w:tcW w:w="8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rPr>
              <w:t>GP</w:t>
            </w:r>
            <w:r>
              <w:rPr>
                <w:rFonts w:hint="eastAsia" w:ascii="仿宋_GB2312" w:hAnsi="Times New Roman" w:eastAsia="仿宋_GB2312"/>
                <w:szCs w:val="21"/>
                <w:lang w:val="en-US" w:eastAsia="zh-CN"/>
              </w:rPr>
              <w:t>2020</w:t>
            </w:r>
          </w:p>
          <w:p>
            <w:pPr>
              <w:jc w:val="center"/>
              <w:rPr>
                <w:rFonts w:ascii="仿宋_GB2312" w:hAnsi="Times New Roman" w:eastAsia="仿宋_GB2312" w:cs="宋体"/>
                <w:szCs w:val="21"/>
              </w:rPr>
            </w:pPr>
            <w:r>
              <w:rPr>
                <w:rFonts w:hint="eastAsia" w:ascii="仿宋_GB2312" w:hAnsi="Times New Roman" w:eastAsia="仿宋_GB2312"/>
                <w:szCs w:val="21"/>
              </w:rPr>
              <w:t xml:space="preserve">- </w:t>
            </w:r>
            <w:r>
              <w:rPr>
                <w:rFonts w:hint="eastAsia" w:ascii="仿宋_GB2312" w:hAnsi="Times New Roman" w:eastAsia="仿宋_GB2312"/>
                <w:szCs w:val="21"/>
                <w:lang w:val="en-US" w:eastAsia="zh-CN"/>
              </w:rPr>
              <w:t>32</w:t>
            </w:r>
            <w:bookmarkStart w:id="0" w:name="_GoBack"/>
            <w:bookmarkEnd w:id="0"/>
            <w:r>
              <w:rPr>
                <w:rFonts w:hint="eastAsia" w:ascii="仿宋_GB2312" w:hAnsi="Times New Roman" w:eastAsia="仿宋_GB2312"/>
                <w:szCs w:val="21"/>
              </w:rPr>
              <w:t xml:space="preserve">    </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szCs w:val="21"/>
                <w:lang w:eastAsia="zh-CN"/>
              </w:rPr>
            </w:pPr>
            <w:r>
              <w:rPr>
                <w:rFonts w:hint="eastAsia" w:ascii="仿宋_GB2312" w:hAnsi="Times New Roman" w:eastAsia="仿宋_GB2312"/>
                <w:szCs w:val="21"/>
                <w:lang w:eastAsia="zh-CN"/>
              </w:rPr>
              <w:t>惠城区小金口中心区</w:t>
            </w:r>
          </w:p>
        </w:tc>
        <w:tc>
          <w:tcPr>
            <w:tcW w:w="55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JBD81-01-01</w:t>
            </w:r>
          </w:p>
        </w:tc>
        <w:tc>
          <w:tcPr>
            <w:tcW w:w="70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ascii="仿宋_GB2312" w:hAnsi="Times New Roman" w:eastAsia="仿宋_GB2312" w:cs="宋体"/>
                <w:szCs w:val="21"/>
              </w:rPr>
            </w:pPr>
            <w:r>
              <w:rPr>
                <w:rFonts w:hint="eastAsia" w:ascii="仿宋_GB2312" w:hAnsi="Times New Roman" w:eastAsia="仿宋_GB2312"/>
                <w:szCs w:val="21"/>
              </w:rPr>
              <w:t>工业用地</w:t>
            </w:r>
          </w:p>
        </w:tc>
        <w:tc>
          <w:tcPr>
            <w:tcW w:w="938"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16135</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19481</w:t>
            </w:r>
          </w:p>
        </w:tc>
        <w:tc>
          <w:tcPr>
            <w:tcW w:w="765" w:type="dxa"/>
            <w:tcBorders>
              <w:top w:val="single" w:color="auto" w:sz="4" w:space="0"/>
              <w:left w:val="nil"/>
              <w:bottom w:val="single" w:color="auto" w:sz="4" w:space="0"/>
              <w:right w:val="single" w:color="auto" w:sz="4" w:space="0"/>
            </w:tcBorders>
            <w:vAlign w:val="center"/>
          </w:tcPr>
          <w:p>
            <w:pPr>
              <w:ind w:left="-103"/>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2.0-3.5</w:t>
            </w:r>
          </w:p>
        </w:tc>
        <w:tc>
          <w:tcPr>
            <w:tcW w:w="82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Arial" w:eastAsia="仿宋_GB2312" w:cs="Arial"/>
                <w:szCs w:val="21"/>
              </w:rPr>
              <w:t>≥</w:t>
            </w:r>
            <w:r>
              <w:rPr>
                <w:rFonts w:hint="eastAsia" w:ascii="仿宋_GB2312" w:hAnsi="Times New Roman" w:eastAsia="仿宋_GB2312"/>
                <w:szCs w:val="21"/>
                <w:lang w:val="en-US" w:eastAsia="zh-CN"/>
              </w:rPr>
              <w:t>30</w:t>
            </w:r>
          </w:p>
        </w:tc>
        <w:tc>
          <w:tcPr>
            <w:tcW w:w="840"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cs="宋体"/>
                <w:szCs w:val="21"/>
              </w:rPr>
            </w:pPr>
            <w:r>
              <w:rPr>
                <w:rFonts w:hint="eastAsia" w:ascii="仿宋_GB2312" w:hAnsi="Times New Roman" w:eastAsia="仿宋_GB2312"/>
                <w:szCs w:val="21"/>
              </w:rPr>
              <w:t>20</w:t>
            </w:r>
          </w:p>
        </w:tc>
        <w:tc>
          <w:tcPr>
            <w:tcW w:w="1065" w:type="dxa"/>
            <w:tcBorders>
              <w:top w:val="single" w:color="auto" w:sz="4" w:space="0"/>
              <w:left w:val="nil"/>
              <w:bottom w:val="single" w:color="auto" w:sz="4" w:space="0"/>
              <w:right w:val="single" w:color="auto" w:sz="4" w:space="0"/>
            </w:tcBorders>
            <w:vAlign w:val="center"/>
          </w:tcPr>
          <w:p>
            <w:pPr>
              <w:jc w:val="center"/>
              <w:rPr>
                <w:rFonts w:hint="default" w:ascii="仿宋_GB2312" w:hAnsi="Times New Roman" w:eastAsia="仿宋_GB2312" w:cs="宋体"/>
                <w:szCs w:val="21"/>
                <w:lang w:val="en-US" w:eastAsia="zh-CN"/>
              </w:rPr>
            </w:pPr>
            <w:r>
              <w:rPr>
                <w:rFonts w:hint="eastAsia" w:ascii="仿宋_GB2312" w:hAnsi="Times New Roman" w:eastAsia="仿宋_GB2312"/>
                <w:szCs w:val="21"/>
                <w:lang w:val="en-US" w:eastAsia="zh-CN"/>
              </w:rPr>
              <w:t>38962-68183</w:t>
            </w:r>
          </w:p>
        </w:tc>
        <w:tc>
          <w:tcPr>
            <w:tcW w:w="915"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cs="宋体"/>
                <w:szCs w:val="21"/>
              </w:rPr>
            </w:pPr>
            <w:r>
              <w:rPr>
                <w:rFonts w:hint="eastAsia" w:ascii="仿宋_GB2312" w:hAnsi="Times New Roman" w:eastAsia="仿宋_GB2312"/>
                <w:szCs w:val="21"/>
              </w:rPr>
              <w:t>工业用地50年</w:t>
            </w:r>
          </w:p>
        </w:tc>
        <w:tc>
          <w:tcPr>
            <w:tcW w:w="975" w:type="dxa"/>
            <w:tcBorders>
              <w:top w:val="single" w:color="auto" w:sz="4" w:space="0"/>
              <w:left w:val="nil"/>
              <w:bottom w:val="single" w:color="auto" w:sz="4" w:space="0"/>
              <w:right w:val="single" w:color="auto" w:sz="4" w:space="0"/>
            </w:tcBorders>
            <w:vAlign w:val="center"/>
          </w:tcPr>
          <w:p>
            <w:pPr>
              <w:ind w:leftChars="-51" w:right="-118" w:rightChars="-56" w:hanging="107" w:hangingChars="51"/>
              <w:jc w:val="center"/>
              <w:rPr>
                <w:rFonts w:hint="eastAsia" w:ascii="仿宋_GB2312" w:hAnsi="Times New Roman" w:eastAsia="仿宋_GB2312" w:cs="宋体"/>
                <w:szCs w:val="21"/>
                <w:lang w:val="en-US" w:eastAsia="zh-CN"/>
              </w:rPr>
            </w:pPr>
            <w:r>
              <w:rPr>
                <w:rFonts w:hint="eastAsia" w:ascii="仿宋_GB2312" w:hAnsi="Times New Roman" w:eastAsia="仿宋_GB2312" w:cs="宋体"/>
                <w:szCs w:val="21"/>
                <w:lang w:val="en-US" w:eastAsia="zh-CN"/>
              </w:rPr>
              <w:t>通讯设备、计算机及其它电子设备制造业</w:t>
            </w:r>
          </w:p>
        </w:tc>
      </w:tr>
    </w:tbl>
    <w:p>
      <w:pPr>
        <w:spacing w:line="360" w:lineRule="auto"/>
        <w:rPr>
          <w:rFonts w:ascii="仿宋_GB2312" w:eastAsia="仿宋_GB2312"/>
          <w:sz w:val="32"/>
          <w:szCs w:val="32"/>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- 6 -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383F"/>
    <w:rsid w:val="0005190D"/>
    <w:rsid w:val="000532BF"/>
    <w:rsid w:val="00080812"/>
    <w:rsid w:val="000A3323"/>
    <w:rsid w:val="00182468"/>
    <w:rsid w:val="001A709C"/>
    <w:rsid w:val="001C4166"/>
    <w:rsid w:val="001F4430"/>
    <w:rsid w:val="00237B99"/>
    <w:rsid w:val="00294C2F"/>
    <w:rsid w:val="002E5376"/>
    <w:rsid w:val="0050441E"/>
    <w:rsid w:val="00544D75"/>
    <w:rsid w:val="00664796"/>
    <w:rsid w:val="006B0A9D"/>
    <w:rsid w:val="00700F46"/>
    <w:rsid w:val="00752F64"/>
    <w:rsid w:val="00775241"/>
    <w:rsid w:val="0085512B"/>
    <w:rsid w:val="0085712E"/>
    <w:rsid w:val="008804AB"/>
    <w:rsid w:val="008B6773"/>
    <w:rsid w:val="009D383F"/>
    <w:rsid w:val="00A01FC2"/>
    <w:rsid w:val="00A205AD"/>
    <w:rsid w:val="00A316C6"/>
    <w:rsid w:val="00A85D25"/>
    <w:rsid w:val="00A86B2B"/>
    <w:rsid w:val="00AA578C"/>
    <w:rsid w:val="00AE0184"/>
    <w:rsid w:val="00B7243E"/>
    <w:rsid w:val="00BD6BF4"/>
    <w:rsid w:val="00D37BBF"/>
    <w:rsid w:val="00D96BF2"/>
    <w:rsid w:val="00E033A5"/>
    <w:rsid w:val="00E643F1"/>
    <w:rsid w:val="00F3605E"/>
    <w:rsid w:val="00F46BB1"/>
    <w:rsid w:val="00F800AB"/>
    <w:rsid w:val="00FB6166"/>
    <w:rsid w:val="08387E8A"/>
    <w:rsid w:val="0A8B048A"/>
    <w:rsid w:val="19F32039"/>
    <w:rsid w:val="1BC25487"/>
    <w:rsid w:val="1D4B544E"/>
    <w:rsid w:val="1E862B6D"/>
    <w:rsid w:val="21AF50E3"/>
    <w:rsid w:val="22784265"/>
    <w:rsid w:val="25857A4D"/>
    <w:rsid w:val="2B945C45"/>
    <w:rsid w:val="2BB026CB"/>
    <w:rsid w:val="35335FA2"/>
    <w:rsid w:val="3A846861"/>
    <w:rsid w:val="3FB14CDD"/>
    <w:rsid w:val="40EC6248"/>
    <w:rsid w:val="412C635B"/>
    <w:rsid w:val="462237D1"/>
    <w:rsid w:val="532E6BE7"/>
    <w:rsid w:val="53CA1FD5"/>
    <w:rsid w:val="59C95D31"/>
    <w:rsid w:val="630C72FB"/>
    <w:rsid w:val="71BF331A"/>
    <w:rsid w:val="75EE3BF2"/>
    <w:rsid w:val="766479F3"/>
    <w:rsid w:val="77B60099"/>
    <w:rsid w:val="7A476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9">
    <w:name w:val="正文1"/>
    <w:basedOn w:val="1"/>
    <w:qFormat/>
    <w:uiPriority w:val="0"/>
    <w:rPr>
      <w:rFonts w:ascii="宋体" w:hAnsi="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579</Words>
  <Characters>3306</Characters>
  <Lines>27</Lines>
  <Paragraphs>7</Paragraphs>
  <TotalTime>9</TotalTime>
  <ScaleCrop>false</ScaleCrop>
  <LinksUpToDate>false</LinksUpToDate>
  <CharactersWithSpaces>3878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2020-09-02T03:23:00Z</cp:lastPrinted>
  <dcterms:modified xsi:type="dcterms:W3CDTF">2020-09-02T06:53:08Z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