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sz w:val="32"/>
          <w:szCs w:val="32"/>
          <w:lang w:val="en-US" w:eastAsia="zh-CN"/>
        </w:rPr>
        <w:t>35</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s="Times New Roman"/>
          <w:kern w:val="2"/>
          <w:sz w:val="32"/>
          <w:szCs w:val="32"/>
          <w:lang w:val="en-US" w:eastAsia="zh-CN"/>
        </w:rPr>
        <w:t>83450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万元的整数倍。</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ascii="仿宋_GB2312" w:hAnsi="仿宋" w:eastAsia="仿宋_GB2312" w:cs="仿宋_GB2312"/>
          <w:color w:val="000000"/>
          <w:sz w:val="32"/>
          <w:szCs w:val="32"/>
          <w:lang w:val="en-US" w:eastAsia="zh-CN"/>
        </w:rPr>
        <w:t>1</w:t>
      </w:r>
      <w:r>
        <w:rPr>
          <w:rFonts w:hint="eastAsia" w:hAnsi="仿宋" w:cs="仿宋_GB2312"/>
          <w:color w:val="000000"/>
          <w:sz w:val="32"/>
          <w:szCs w:val="32"/>
          <w:lang w:val="en-US" w:eastAsia="zh-CN"/>
        </w:rPr>
        <w:t>6690</w:t>
      </w:r>
      <w:r>
        <w:rPr>
          <w:rFonts w:hint="eastAsia" w:hAnsi="仿宋_GB2312" w:cs="仿宋_GB2312"/>
          <w:szCs w:val="32"/>
        </w:rPr>
        <w:t>万元人民币，如以外币缴交竞买保证金的，须缴交美元</w:t>
      </w:r>
      <w:r>
        <w:rPr>
          <w:rFonts w:hint="eastAsia" w:hAnsi="仿宋_GB2312" w:cs="仿宋_GB2312"/>
          <w:szCs w:val="32"/>
          <w:lang w:val="en-US" w:eastAsia="zh-CN"/>
        </w:rPr>
        <w:t>2444</w:t>
      </w:r>
      <w:r>
        <w:rPr>
          <w:rFonts w:hint="eastAsia" w:hAnsi="仿宋_GB2312" w:cs="仿宋_GB2312"/>
          <w:szCs w:val="32"/>
        </w:rPr>
        <w:t>万元或港币</w:t>
      </w:r>
      <w:r>
        <w:rPr>
          <w:rFonts w:hint="eastAsia" w:hAnsi="仿宋_GB2312" w:cs="仿宋_GB2312"/>
          <w:szCs w:val="32"/>
          <w:lang w:val="en-US" w:eastAsia="zh-CN"/>
        </w:rPr>
        <w:t>18938</w:t>
      </w:r>
      <w:r>
        <w:rPr>
          <w:rFonts w:hint="eastAsia" w:hAnsi="仿宋_GB2312" w:cs="仿宋_GB2312"/>
          <w:szCs w:val="32"/>
        </w:rPr>
        <w:t>万元。</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（二）竞得人在用地红线内开发建设必须符合城市规划要求，必须按《告知书》（案卷编号：</w:t>
      </w:r>
      <w:r>
        <w:rPr>
          <w:rFonts w:hint="eastAsia" w:ascii="仿宋_GB2312" w:hAnsi="仿宋" w:eastAsia="仿宋_GB2312" w:cs="Times New Roman"/>
          <w:sz w:val="32"/>
          <w:szCs w:val="32"/>
        </w:rPr>
        <w:t>PB20</w:t>
      </w:r>
      <w:r>
        <w:rPr>
          <w:rFonts w:hint="default" w:ascii="仿宋_GB2312" w:hAnsi="仿宋" w:eastAsia="仿宋_GB2312" w:cs="Times New Roman"/>
          <w:sz w:val="32"/>
          <w:szCs w:val="32"/>
          <w:lang w:val="en-US"/>
        </w:rPr>
        <w:t>200</w:t>
      </w:r>
      <w:r>
        <w:rPr>
          <w:rFonts w:hint="eastAsia" w:hAnsi="仿宋" w:cs="Times New Roman"/>
          <w:sz w:val="32"/>
          <w:szCs w:val="32"/>
          <w:lang w:val="en-US" w:eastAsia="zh-CN"/>
        </w:rPr>
        <w:t>100</w:t>
      </w:r>
      <w:r>
        <w:rPr>
          <w:rFonts w:hint="eastAsia" w:hAnsi="仿宋_GB2312" w:cs="仿宋_GB2312"/>
          <w:szCs w:val="32"/>
        </w:rPr>
        <w:t>）规划控制指标要求及有关规定进行规划设计。</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default" w:ascii="仿宋_GB2312" w:hAnsi="仿宋" w:eastAsia="仿宋_GB2312"/>
          <w:kern w:val="2"/>
          <w:sz w:val="32"/>
          <w:szCs w:val="32"/>
          <w:lang w:val="en-US" w:eastAsia="zh-CN"/>
        </w:rPr>
      </w:pPr>
      <w:r>
        <w:rPr>
          <w:rFonts w:hint="eastAsia" w:ascii="仿宋_GB2312" w:hAnsi="仿宋" w:eastAsia="仿宋_GB2312"/>
          <w:kern w:val="2"/>
          <w:sz w:val="32"/>
          <w:szCs w:val="32"/>
        </w:rPr>
        <w:t>（三）</w:t>
      </w:r>
      <w:r>
        <w:rPr>
          <w:rFonts w:hint="eastAsia" w:ascii="仿宋_GB2312" w:hAnsi="仿宋" w:eastAsia="仿宋_GB2312"/>
          <w:kern w:val="2"/>
          <w:sz w:val="32"/>
          <w:szCs w:val="32"/>
          <w:lang w:eastAsia="zh-CN"/>
        </w:rPr>
        <w:t>本用地内部、东侧和北侧的密路网（包括雨水管和污水管）须由取得</w:t>
      </w:r>
      <w:r>
        <w:rPr>
          <w:rFonts w:hint="eastAsia" w:ascii="仿宋_GB2312" w:hAnsi="仿宋" w:eastAsia="仿宋_GB2312"/>
          <w:kern w:val="2"/>
          <w:sz w:val="32"/>
          <w:szCs w:val="32"/>
          <w:lang w:val="en-US" w:eastAsia="zh-CN"/>
        </w:rPr>
        <w:t>LJL-47-19地块的土地使用权者负责建设。密路网建成后无偿交给市政工程行政主管部门管理，并开放给公众使用。</w:t>
      </w:r>
    </w:p>
    <w:p>
      <w:pPr>
        <w:keepNext w:val="0"/>
        <w:keepLines w:val="0"/>
        <w:pageBreakBefore w:val="0"/>
        <w:tabs>
          <w:tab w:val="left" w:pos="217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四</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地块内的配套幼儿园应与</w:t>
      </w:r>
      <w:r>
        <w:rPr>
          <w:rFonts w:hint="eastAsia" w:ascii="仿宋_GB2312" w:hAnsi="仿宋" w:eastAsia="仿宋_GB2312"/>
          <w:kern w:val="2"/>
          <w:sz w:val="32"/>
          <w:szCs w:val="32"/>
          <w:lang w:val="en-US" w:eastAsia="zh-CN"/>
        </w:rPr>
        <w:t>LJL-47-19地块同步规划设计、同步建设、同步验收交付使用</w:t>
      </w:r>
      <w:r>
        <w:rPr>
          <w:rFonts w:hint="eastAsia" w:ascii="仿宋_GB2312" w:hAnsi="仿宋" w:eastAsia="仿宋_GB2312"/>
          <w:kern w:val="2"/>
          <w:sz w:val="32"/>
          <w:szCs w:val="32"/>
          <w:lang w:eastAsia="zh-CN"/>
        </w:rPr>
        <w:t>，如</w:t>
      </w:r>
      <w:r>
        <w:rPr>
          <w:rFonts w:hint="eastAsia" w:ascii="仿宋_GB2312" w:hAnsi="仿宋" w:eastAsia="仿宋_GB2312"/>
          <w:kern w:val="2"/>
          <w:sz w:val="32"/>
          <w:szCs w:val="32"/>
          <w:lang w:val="en-US" w:eastAsia="zh-CN"/>
        </w:rPr>
        <w:t>本用地分期建设，该幼儿园应纳入首期工程。</w:t>
      </w:r>
      <w:r>
        <w:rPr>
          <w:rFonts w:hint="eastAsia" w:ascii="仿宋_GB2312" w:hAnsi="仿宋" w:eastAsia="仿宋_GB2312"/>
          <w:kern w:val="2"/>
          <w:sz w:val="32"/>
          <w:szCs w:val="32"/>
          <w:lang w:eastAsia="zh-CN"/>
        </w:rPr>
        <w:t>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widowControl/>
        <w:kinsoku/>
        <w:wordWrap/>
        <w:overflowPunct/>
        <w:topLinePunct w:val="0"/>
        <w:autoSpaceDE/>
        <w:autoSpaceDN/>
        <w:bidi w:val="0"/>
        <w:spacing w:line="560" w:lineRule="exact"/>
        <w:ind w:firstLine="618"/>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s="Times New Roman"/>
          <w:kern w:val="2"/>
          <w:sz w:val="32"/>
          <w:szCs w:val="32"/>
          <w:lang w:val="en-US" w:eastAsia="zh-CN"/>
        </w:rPr>
        <w:t>126490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w:t>
      </w:r>
      <w:r>
        <w:rPr>
          <w:rFonts w:hint="eastAsia" w:ascii="仿宋_GB2312" w:hAnsi="仿宋_GB2312" w:cs="仿宋_GB2312"/>
          <w:sz w:val="32"/>
          <w:szCs w:val="32"/>
          <w:lang w:val="en-US" w:eastAsia="zh-CN"/>
        </w:rPr>
        <w:t>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kinsoku/>
        <w:wordWrap/>
        <w:overflowPunct/>
        <w:topLinePunct w:val="0"/>
        <w:autoSpaceDE/>
        <w:autoSpaceDN/>
        <w:bidi w:val="0"/>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2020年9月30日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40"/>
        <w:gridCol w:w="735"/>
        <w:gridCol w:w="735"/>
        <w:gridCol w:w="765"/>
        <w:gridCol w:w="792"/>
        <w:gridCol w:w="933"/>
        <w:gridCol w:w="639"/>
        <w:gridCol w:w="1572"/>
        <w:gridCol w:w="936"/>
        <w:gridCol w:w="642"/>
        <w:gridCol w:w="118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4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4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3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3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6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69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45" w:type="dxa"/>
            <w:vMerge w:val="continue"/>
            <w:vAlign w:val="center"/>
          </w:tcPr>
          <w:p>
            <w:pPr>
              <w:adjustRightInd w:val="0"/>
              <w:snapToGrid w:val="0"/>
              <w:spacing w:line="320" w:lineRule="exact"/>
              <w:jc w:val="center"/>
              <w:rPr>
                <w:rFonts w:hint="eastAsia" w:ascii="仿宋_GB2312" w:eastAsia="仿宋_GB2312"/>
                <w:b/>
                <w:bCs/>
              </w:rPr>
            </w:pPr>
          </w:p>
        </w:tc>
        <w:tc>
          <w:tcPr>
            <w:tcW w:w="540" w:type="dxa"/>
            <w:vMerge w:val="continue"/>
            <w:vAlign w:val="center"/>
          </w:tcPr>
          <w:p>
            <w:pPr>
              <w:adjustRightInd w:val="0"/>
              <w:snapToGrid w:val="0"/>
              <w:spacing w:line="320" w:lineRule="exact"/>
              <w:jc w:val="center"/>
              <w:rPr>
                <w:rFonts w:hint="eastAsia" w:ascii="仿宋_GB2312" w:eastAsia="仿宋_GB2312"/>
                <w:b/>
                <w:bCs/>
              </w:rPr>
            </w:pPr>
          </w:p>
        </w:tc>
        <w:tc>
          <w:tcPr>
            <w:tcW w:w="735" w:type="dxa"/>
            <w:vMerge w:val="continue"/>
            <w:vAlign w:val="center"/>
          </w:tcPr>
          <w:p>
            <w:pPr>
              <w:adjustRightInd w:val="0"/>
              <w:snapToGrid w:val="0"/>
              <w:spacing w:line="320" w:lineRule="exact"/>
              <w:jc w:val="center"/>
              <w:rPr>
                <w:rFonts w:hint="eastAsia" w:ascii="仿宋_GB2312" w:eastAsia="仿宋_GB2312"/>
                <w:b/>
                <w:bCs/>
              </w:rPr>
            </w:pPr>
          </w:p>
        </w:tc>
        <w:tc>
          <w:tcPr>
            <w:tcW w:w="735" w:type="dxa"/>
            <w:vMerge w:val="continue"/>
            <w:vAlign w:val="center"/>
          </w:tcPr>
          <w:p>
            <w:pPr>
              <w:adjustRightInd w:val="0"/>
              <w:snapToGrid w:val="0"/>
              <w:spacing w:line="320" w:lineRule="exact"/>
              <w:jc w:val="center"/>
              <w:rPr>
                <w:rFonts w:hint="eastAsia" w:ascii="仿宋_GB2312" w:eastAsia="仿宋_GB2312"/>
                <w:b/>
                <w:bCs/>
              </w:rPr>
            </w:pPr>
          </w:p>
        </w:tc>
        <w:tc>
          <w:tcPr>
            <w:tcW w:w="765" w:type="dxa"/>
            <w:vMerge w:val="continue"/>
            <w:vAlign w:val="center"/>
          </w:tcPr>
          <w:p>
            <w:pPr>
              <w:adjustRightInd w:val="0"/>
              <w:snapToGrid w:val="0"/>
              <w:spacing w:line="320" w:lineRule="exact"/>
              <w:jc w:val="center"/>
              <w:rPr>
                <w:rFonts w:hint="eastAsia" w:ascii="仿宋_GB2312" w:eastAsia="仿宋_GB2312"/>
                <w:b/>
                <w:bCs/>
              </w:rPr>
            </w:pPr>
          </w:p>
        </w:tc>
        <w:tc>
          <w:tcPr>
            <w:tcW w:w="792"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93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39"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57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936"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642"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1182"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4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GP2020-35</w:t>
            </w:r>
          </w:p>
        </w:tc>
        <w:tc>
          <w:tcPr>
            <w:tcW w:w="540" w:type="dxa"/>
            <w:vAlign w:val="center"/>
          </w:tcPr>
          <w:p>
            <w:pPr>
              <w:jc w:val="center"/>
              <w:rPr>
                <w:rFonts w:hint="eastAsia" w:ascii="仿宋_GB2312" w:hAnsi="Times New Roman" w:eastAsia="仿宋_GB2312"/>
                <w:szCs w:val="21"/>
              </w:rPr>
            </w:pPr>
            <w:r>
              <w:rPr>
                <w:rFonts w:hint="eastAsia" w:ascii="仿宋_GB2312" w:eastAsia="仿宋_GB2312"/>
                <w:szCs w:val="21"/>
                <w:lang w:val="en-US" w:eastAsia="zh-CN"/>
              </w:rPr>
              <w:t>惠州市惠城区</w:t>
            </w:r>
            <w:r>
              <w:rPr>
                <w:rFonts w:hint="eastAsia" w:ascii="仿宋_GB2312" w:hAnsi="Times New Roman" w:eastAsia="仿宋_GB2312"/>
                <w:szCs w:val="21"/>
                <w:lang w:eastAsia="zh-CN"/>
              </w:rPr>
              <w:t>鹿江沥南岸</w:t>
            </w:r>
          </w:p>
        </w:tc>
        <w:tc>
          <w:tcPr>
            <w:tcW w:w="735"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lang w:val="en-US" w:eastAsia="zh-CN"/>
              </w:rPr>
              <w:t>LJL-47-19</w:t>
            </w:r>
          </w:p>
        </w:tc>
        <w:tc>
          <w:tcPr>
            <w:tcW w:w="735"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城镇</w:t>
            </w:r>
            <w:r>
              <w:rPr>
                <w:rFonts w:hint="eastAsia" w:ascii="仿宋_GB2312" w:hAnsi="Times New Roman" w:eastAsia="仿宋_GB2312"/>
                <w:szCs w:val="21"/>
              </w:rPr>
              <w:t>住</w:t>
            </w:r>
            <w:r>
              <w:rPr>
                <w:rFonts w:hint="eastAsia" w:ascii="仿宋_GB2312" w:hAnsi="Times New Roman" w:eastAsia="仿宋_GB2312"/>
                <w:szCs w:val="21"/>
                <w:lang w:eastAsia="zh-CN"/>
              </w:rPr>
              <w:t>宅及商服</w:t>
            </w:r>
            <w:r>
              <w:rPr>
                <w:rFonts w:hint="eastAsia" w:ascii="仿宋_GB2312" w:hAnsi="Times New Roman" w:eastAsia="仿宋_GB2312"/>
                <w:szCs w:val="21"/>
              </w:rPr>
              <w:t>用地</w:t>
            </w:r>
          </w:p>
        </w:tc>
        <w:tc>
          <w:tcPr>
            <w:tcW w:w="765" w:type="dxa"/>
            <w:vAlign w:val="center"/>
          </w:tcPr>
          <w:p>
            <w:pPr>
              <w:adjustRightInd w:val="0"/>
              <w:snapToGrid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kern w:val="2"/>
                <w:sz w:val="21"/>
                <w:szCs w:val="21"/>
                <w:lang w:val="en-US"/>
              </w:rPr>
              <w:t>35566.18</w:t>
            </w:r>
          </w:p>
        </w:tc>
        <w:tc>
          <w:tcPr>
            <w:tcW w:w="792"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kern w:val="2"/>
                <w:sz w:val="21"/>
                <w:szCs w:val="21"/>
                <w:lang w:val="en-US"/>
              </w:rPr>
              <w:t>40996.77</w:t>
            </w:r>
          </w:p>
        </w:tc>
        <w:tc>
          <w:tcPr>
            <w:tcW w:w="933" w:type="dxa"/>
            <w:vAlign w:val="center"/>
          </w:tcPr>
          <w:p>
            <w:pPr>
              <w:adjustRightInd w:val="0"/>
              <w:snapToGrid w:val="0"/>
              <w:spacing w:line="4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w:t>
            </w:r>
            <w:r>
              <w:rPr>
                <w:rFonts w:hint="default" w:ascii="Times New Roman" w:hAnsi="Times New Roman" w:eastAsia="仿宋_GB2312" w:cs="Times New Roman"/>
                <w:kern w:val="2"/>
                <w:sz w:val="21"/>
                <w:szCs w:val="21"/>
                <w:lang w:val="en-US" w:eastAsia="zh-CN"/>
              </w:rPr>
              <w:t>35</w:t>
            </w:r>
            <w:r>
              <w:rPr>
                <w:rFonts w:hint="default" w:ascii="Times New Roman" w:hAnsi="Times New Roman" w:eastAsia="仿宋_GB2312" w:cs="Times New Roman"/>
                <w:kern w:val="2"/>
                <w:sz w:val="21"/>
                <w:szCs w:val="21"/>
                <w:lang w:val="en-US"/>
              </w:rPr>
              <w:t>％</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sz w:val="21"/>
                <w:szCs w:val="21"/>
                <w:lang w:eastAsia="zh-CN"/>
              </w:rPr>
              <w:t>住宅建筑密度</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22</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w:t>
            </w:r>
          </w:p>
        </w:tc>
        <w:tc>
          <w:tcPr>
            <w:tcW w:w="639" w:type="dxa"/>
            <w:vAlign w:val="center"/>
          </w:tcPr>
          <w:p>
            <w:pPr>
              <w:adjustRightInd w:val="0"/>
              <w:snapToGrid w:val="0"/>
              <w:spacing w:line="4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val="en-US" w:eastAsia="zh-CN"/>
              </w:rPr>
              <w:t>5</w:t>
            </w:r>
          </w:p>
        </w:tc>
        <w:tc>
          <w:tcPr>
            <w:tcW w:w="1572" w:type="dxa"/>
            <w:vAlign w:val="center"/>
          </w:tcPr>
          <w:p>
            <w:pPr>
              <w:adjustRightInd w:val="0"/>
              <w:snapToGrid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≤143489㎡(其中：商业、商务建筑面积≤15%（不得建设公寓）；住宅面积&lt;115765；配套设施建筑面积&gt;6200</w:t>
            </w:r>
            <w:r>
              <w:rPr>
                <w:rFonts w:hint="default" w:ascii="Times New Roman" w:hAnsi="Times New Roman" w:eastAsia="仿宋_GB2312" w:cs="Times New Roman"/>
                <w:sz w:val="21"/>
                <w:szCs w:val="21"/>
              </w:rPr>
              <w:t>）</w:t>
            </w:r>
          </w:p>
        </w:tc>
        <w:tc>
          <w:tcPr>
            <w:tcW w:w="936" w:type="dxa"/>
            <w:vAlign w:val="center"/>
          </w:tcPr>
          <w:p>
            <w:pPr>
              <w:adjustRightInd w:val="0"/>
              <w:snapToGrid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每100㎡计容积率面积≥1个</w:t>
            </w:r>
          </w:p>
        </w:tc>
        <w:tc>
          <w:tcPr>
            <w:tcW w:w="642" w:type="dxa"/>
            <w:vAlign w:val="center"/>
          </w:tcPr>
          <w:p>
            <w:pPr>
              <w:adjustRightInd w:val="0"/>
              <w:snapToGrid w:val="0"/>
              <w:spacing w:line="4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val="en-US" w:eastAsia="zh-CN"/>
              </w:rPr>
              <w:t>0</w:t>
            </w:r>
          </w:p>
        </w:tc>
        <w:tc>
          <w:tcPr>
            <w:tcW w:w="1182" w:type="dxa"/>
            <w:vAlign w:val="center"/>
          </w:tcPr>
          <w:p>
            <w:pPr>
              <w:ind w:leftChars="-51" w:right="-118" w:rightChars="-56" w:hanging="107" w:hangingChars="51"/>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住宅</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商业</w:t>
            </w:r>
            <w:r>
              <w:rPr>
                <w:rFonts w:hint="default" w:ascii="Times New Roman" w:hAnsi="Times New Roman" w:eastAsia="仿宋_GB2312" w:cs="Times New Roman"/>
                <w:color w:val="000000"/>
                <w:sz w:val="21"/>
                <w:szCs w:val="21"/>
                <w:lang w:eastAsia="zh-CN"/>
              </w:rPr>
              <w:t>和商务及</w:t>
            </w:r>
            <w:r>
              <w:rPr>
                <w:rFonts w:hint="default" w:ascii="Times New Roman" w:hAnsi="Times New Roman" w:eastAsia="仿宋_GB2312" w:cs="Times New Roman"/>
                <w:color w:val="000000"/>
                <w:sz w:val="21"/>
                <w:szCs w:val="21"/>
              </w:rPr>
              <w:t>配套设施</w:t>
            </w:r>
          </w:p>
        </w:tc>
        <w:tc>
          <w:tcPr>
            <w:tcW w:w="864"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rPr>
              <w:t>住宅70年</w:t>
            </w:r>
            <w:r>
              <w:rPr>
                <w:rFonts w:hint="eastAsia" w:ascii="仿宋_GB2312" w:hAnsi="仿宋_GB2312" w:eastAsia="仿宋_GB2312"/>
                <w:color w:val="000000"/>
                <w:szCs w:val="21"/>
                <w:lang w:eastAsia="zh-CN"/>
              </w:rPr>
              <w:t>、</w:t>
            </w:r>
            <w:r>
              <w:rPr>
                <w:rFonts w:hint="eastAsia" w:ascii="仿宋_GB2312" w:hAnsi="仿宋_GB2312" w:eastAsia="仿宋_GB2312"/>
                <w:color w:val="000000"/>
                <w:szCs w:val="21"/>
              </w:rPr>
              <w:t>商服40年</w:t>
            </w:r>
          </w:p>
        </w:tc>
      </w:tr>
    </w:tbl>
    <w:p>
      <w:pPr>
        <w:tabs>
          <w:tab w:val="left" w:pos="11340"/>
        </w:tabs>
        <w:spacing w:line="600" w:lineRule="exact"/>
        <w:rPr>
          <w:rFonts w:hint="eastAsia" w:ascii="仿宋_GB2312" w:eastAsia="仿宋_GB2312"/>
          <w:sz w:val="32"/>
          <w:szCs w:val="32"/>
        </w:rPr>
      </w:pPr>
    </w:p>
    <w:p>
      <w:pPr>
        <w:ind w:firstLine="150" w:firstLineChars="50"/>
        <w:jc w:val="right"/>
        <w:rPr>
          <w:rFonts w:ascii="仿宋_GB2312" w:hAnsi="楷体" w:eastAsia="仿宋_GB2312"/>
          <w:sz w:val="30"/>
        </w:rPr>
      </w:pPr>
    </w:p>
    <w:p>
      <w:pPr>
        <w:pStyle w:val="8"/>
        <w:ind w:firstLine="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- 9 -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6451D"/>
    <w:rsid w:val="01461591"/>
    <w:rsid w:val="01E67656"/>
    <w:rsid w:val="08F829A3"/>
    <w:rsid w:val="174D30BE"/>
    <w:rsid w:val="1D703AED"/>
    <w:rsid w:val="24143B50"/>
    <w:rsid w:val="37285FD1"/>
    <w:rsid w:val="3FC57BED"/>
    <w:rsid w:val="4ACC7D2D"/>
    <w:rsid w:val="61AC55A4"/>
    <w:rsid w:val="72D6451D"/>
    <w:rsid w:val="739C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2020-09-29T08:16:00Z</dcterms:created>
  <dc:creator>黄春枚</dc:creator>
  <cp:lastModifiedBy>黄春枚</cp:lastModifiedBy>
  <cp:lastPrinted>2020-09-29T08:31:00Z</cp:lastPrinted>
  <dcterms:modified xsi:type="dcterms:W3CDTF">2020-09-30T03:16:43Z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