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17</w:t>
      </w:r>
      <w:r>
        <w:rPr>
          <w:rFonts w:hint="eastAsia" w:ascii="仿宋_GB2312" w:hAnsi="仿宋_GB2312" w:eastAsia="仿宋_GB2312" w:cs="仿宋_GB2312"/>
          <w:sz w:val="32"/>
        </w:rPr>
        <w:t>号</w:t>
      </w:r>
    </w:p>
    <w:p>
      <w:pPr>
        <w:spacing w:line="520" w:lineRule="exact"/>
        <w:ind w:firstLine="640" w:firstLineChars="200"/>
        <w:jc w:val="center"/>
        <w:rPr>
          <w:rFonts w:hint="eastAsia" w:ascii="仿宋_GB2312" w:hAnsi="仿宋_GB2312" w:eastAsia="仿宋_GB2312" w:cs="仿宋_GB2312"/>
          <w:sz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olor w:val="auto"/>
          <w:sz w:val="32"/>
          <w:szCs w:val="32"/>
          <w:lang w:val="en-US" w:eastAsia="zh-CN"/>
        </w:rPr>
        <w:t>55430</w:t>
      </w:r>
      <w:r>
        <w:rPr>
          <w:rFonts w:hint="eastAsia" w:ascii="仿宋_GB2312" w:hAnsi="仿宋_GB2312" w:eastAsia="仿宋_GB2312" w:cs="仿宋_GB2312"/>
          <w:sz w:val="32"/>
          <w:szCs w:val="32"/>
        </w:rPr>
        <w:t>万元,每次报价加价幅度为人民币</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00万元的整数倍。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eastAsia="zh-CN"/>
        </w:rPr>
        <w:t>（一）缴交竞买保证金</w:t>
      </w:r>
      <w:r>
        <w:rPr>
          <w:rFonts w:hint="eastAsia" w:hAnsi="仿宋_GB2312" w:cs="仿宋_GB2312"/>
          <w:color w:val="auto"/>
          <w:szCs w:val="32"/>
          <w:lang w:val="en-US" w:eastAsia="zh-CN"/>
        </w:rPr>
        <w:t>16629</w:t>
      </w:r>
      <w:r>
        <w:rPr>
          <w:rFonts w:hint="eastAsia" w:hAnsi="仿宋_GB2312" w:cs="仿宋_GB2312"/>
          <w:color w:val="auto"/>
          <w:szCs w:val="32"/>
          <w:lang w:eastAsia="zh-CN"/>
        </w:rPr>
        <w:t>万元人民币，如以外币缴交竞买保证金的，须缴交美元</w:t>
      </w:r>
      <w:r>
        <w:rPr>
          <w:rFonts w:hint="eastAsia" w:hAnsi="仿宋_GB2312" w:cs="仿宋_GB2312"/>
          <w:color w:val="auto"/>
          <w:szCs w:val="32"/>
          <w:lang w:val="en-US" w:eastAsia="zh-CN"/>
        </w:rPr>
        <w:t>2348</w:t>
      </w:r>
      <w:r>
        <w:rPr>
          <w:rFonts w:hint="eastAsia" w:hAnsi="仿宋_GB2312" w:cs="仿宋_GB2312"/>
          <w:color w:val="auto"/>
          <w:szCs w:val="32"/>
          <w:lang w:eastAsia="zh-CN"/>
        </w:rPr>
        <w:t>万元或港币</w:t>
      </w:r>
      <w:r>
        <w:rPr>
          <w:rFonts w:hint="eastAsia" w:hAnsi="仿宋_GB2312" w:cs="仿宋_GB2312"/>
          <w:color w:val="auto"/>
          <w:szCs w:val="32"/>
          <w:lang w:val="en-US" w:eastAsia="zh-CN"/>
        </w:rPr>
        <w:t>18200</w:t>
      </w:r>
      <w:r>
        <w:rPr>
          <w:rFonts w:hint="eastAsia" w:hAnsi="仿宋_GB2312" w:cs="仿宋_GB2312"/>
          <w:color w:val="auto"/>
          <w:szCs w:val="32"/>
          <w:lang w:eastAsia="zh-CN"/>
        </w:rPr>
        <w:t>万元</w:t>
      </w:r>
      <w:r>
        <w:rPr>
          <w:rFonts w:hint="eastAsia" w:hAnsi="仿宋_GB2312" w:cs="仿宋_GB2312"/>
          <w:szCs w:val="32"/>
          <w:lang w:eastAsia="zh-CN"/>
        </w:rPr>
        <w:t>。</w:t>
      </w:r>
    </w:p>
    <w:p>
      <w:pPr>
        <w:pStyle w:val="2"/>
        <w:widowControl w:val="0"/>
        <w:spacing w:line="520" w:lineRule="exact"/>
        <w:jc w:val="both"/>
        <w:rPr>
          <w:rFonts w:hint="eastAsia" w:hAnsi="仿宋_GB2312" w:cs="仿宋_GB2312"/>
          <w:szCs w:val="32"/>
        </w:rPr>
      </w:pPr>
      <w:r>
        <w:rPr>
          <w:rFonts w:hint="eastAsia" w:hAnsi="仿宋_GB2312" w:cs="仿宋_GB2312"/>
          <w:szCs w:val="32"/>
          <w:lang w:eastAsia="zh-CN"/>
        </w:rPr>
        <w:t>（二）</w:t>
      </w:r>
      <w:r>
        <w:rPr>
          <w:rFonts w:hint="eastAsia" w:hAnsi="仿宋_GB2312" w:cs="仿宋_GB2312"/>
          <w:szCs w:val="32"/>
        </w:rPr>
        <w:t>存在下列违法违规违约行为之一的企业及其控股股东，不得参与竞买上述地块：</w:t>
      </w:r>
    </w:p>
    <w:p>
      <w:pPr>
        <w:pStyle w:val="2"/>
        <w:widowControl w:val="0"/>
        <w:spacing w:line="520" w:lineRule="exact"/>
        <w:jc w:val="both"/>
        <w:rPr>
          <w:rFonts w:hint="eastAsia"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int="eastAsia"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int="eastAsia" w:hAnsi="仿宋_GB2312" w:cs="仿宋_GB2312"/>
          <w:szCs w:val="32"/>
        </w:rPr>
      </w:pPr>
      <w:r>
        <w:rPr>
          <w:rFonts w:hint="eastAsia" w:hAnsi="仿宋_GB2312" w:cs="仿宋_GB2312"/>
          <w:szCs w:val="32"/>
        </w:rPr>
        <w:t>7、存在其它被禁止竞买土地行为的。</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color w:val="auto"/>
          <w:sz w:val="32"/>
          <w:szCs w:val="32"/>
          <w:lang w:val="en-US" w:eastAsia="zh-CN"/>
        </w:rPr>
        <w:t>85126</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（四）</w:t>
      </w:r>
      <w:r>
        <w:rPr>
          <w:rFonts w:hint="eastAsia" w:hAnsi="仿宋_GB2312" w:cs="仿宋_GB2312"/>
          <w:szCs w:val="32"/>
          <w:lang w:eastAsia="zh-CN"/>
        </w:rPr>
        <w:t>竞得人在用地红线内开发建设必须符合城市规划要求，必须按《告知书》（案卷编号</w:t>
      </w:r>
      <w:r>
        <w:rPr>
          <w:rFonts w:hint="eastAsia" w:hAnsi="仿宋_GB2312" w:cs="仿宋_GB2312"/>
          <w:color w:val="auto"/>
          <w:szCs w:val="32"/>
          <w:lang w:eastAsia="zh-CN"/>
        </w:rPr>
        <w:t>：PB20190</w:t>
      </w:r>
      <w:r>
        <w:rPr>
          <w:rFonts w:hint="eastAsia" w:hAnsi="仿宋_GB2312" w:cs="仿宋_GB2312"/>
          <w:color w:val="auto"/>
          <w:szCs w:val="32"/>
          <w:lang w:val="en-US" w:eastAsia="zh-CN"/>
        </w:rPr>
        <w:t>145</w:t>
      </w:r>
      <w:r>
        <w:rPr>
          <w:rFonts w:hint="eastAsia" w:hAnsi="仿宋_GB2312" w:cs="仿宋_GB2312"/>
          <w:szCs w:val="32"/>
          <w:lang w:eastAsia="zh-CN"/>
        </w:rPr>
        <w:t>）规划控制指标要求及有关规定进行规划设计。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、联系方式：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赵小姐</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286</w:t>
      </w:r>
    </w:p>
    <w:p>
      <w:pPr>
        <w:spacing w:line="520" w:lineRule="exact"/>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联系人：袁小姐、黄小姐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联系电话：（0752）7121026、7121042</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hint="eastAsia"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eastAsia" w:ascii="仿宋_GB2312" w:eastAsia="仿宋_GB2312"/>
          <w:sz w:val="32"/>
          <w:szCs w:val="32"/>
          <w:lang w:val="en-US" w:eastAsia="zh-CN"/>
        </w:rPr>
      </w:pPr>
      <w:r>
        <w:rPr>
          <w:rFonts w:hint="eastAsia" w:ascii="仿宋_GB2312" w:eastAsia="仿宋_GB2312"/>
          <w:sz w:val="32"/>
          <w:szCs w:val="32"/>
          <w:lang w:val="en-US" w:eastAsia="zh-CN"/>
        </w:rPr>
        <w:t>2020年5月27日</w:t>
      </w: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75"/>
        <w:gridCol w:w="555"/>
        <w:gridCol w:w="795"/>
        <w:gridCol w:w="855"/>
        <w:gridCol w:w="870"/>
        <w:gridCol w:w="585"/>
        <w:gridCol w:w="516"/>
        <w:gridCol w:w="550"/>
        <w:gridCol w:w="563"/>
        <w:gridCol w:w="1275"/>
        <w:gridCol w:w="937"/>
        <w:gridCol w:w="90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693"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挂牌地块编号</w:t>
            </w:r>
          </w:p>
        </w:tc>
        <w:tc>
          <w:tcPr>
            <w:tcW w:w="675"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位置</w:t>
            </w:r>
          </w:p>
        </w:tc>
        <w:tc>
          <w:tcPr>
            <w:tcW w:w="555"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规划编号</w:t>
            </w:r>
          </w:p>
        </w:tc>
        <w:tc>
          <w:tcPr>
            <w:tcW w:w="795"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用途</w:t>
            </w:r>
          </w:p>
        </w:tc>
        <w:tc>
          <w:tcPr>
            <w:tcW w:w="855" w:type="dxa"/>
            <w:vMerge w:val="restart"/>
            <w:vAlign w:val="center"/>
          </w:tcPr>
          <w:p>
            <w:pPr>
              <w:adjustRightInd w:val="0"/>
              <w:snapToGrid w:val="0"/>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宗地使用权面积</w:t>
            </w:r>
            <w:r>
              <w:rPr>
                <w:rFonts w:hint="eastAsia" w:ascii="仿宋_GB2312" w:eastAsia="仿宋_GB2312"/>
                <w:b/>
                <w:bCs/>
                <w:color w:val="auto"/>
                <w:szCs w:val="21"/>
              </w:rPr>
              <w:t>（</w:t>
            </w:r>
            <w:r>
              <w:rPr>
                <w:rFonts w:hint="eastAsia" w:ascii="宋体" w:hAnsi="宋体" w:cs="宋体"/>
                <w:b/>
                <w:bCs/>
                <w:color w:val="auto"/>
                <w:szCs w:val="21"/>
              </w:rPr>
              <w:t>㎡</w:t>
            </w:r>
            <w:r>
              <w:rPr>
                <w:rFonts w:hint="eastAsia" w:ascii="仿宋_GB2312" w:eastAsia="仿宋_GB2312"/>
                <w:b/>
                <w:bCs/>
                <w:color w:val="auto"/>
                <w:szCs w:val="21"/>
              </w:rPr>
              <w:t>）</w:t>
            </w:r>
          </w:p>
        </w:tc>
        <w:tc>
          <w:tcPr>
            <w:tcW w:w="6196" w:type="dxa"/>
            <w:gridSpan w:val="8"/>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rPr>
            </w:pPr>
            <w:r>
              <w:rPr>
                <w:rFonts w:hint="eastAsia" w:ascii="仿宋_GB2312" w:eastAsia="仿宋_GB2312"/>
                <w:b/>
                <w:bCs/>
                <w:color w:val="auto"/>
                <w:szCs w:val="21"/>
              </w:rPr>
              <w:t>规划指标要求</w:t>
            </w:r>
          </w:p>
        </w:tc>
        <w:tc>
          <w:tcPr>
            <w:tcW w:w="707" w:type="dxa"/>
            <w:vMerge w:val="restart"/>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lang w:eastAsia="zh-CN"/>
              </w:rPr>
            </w:pPr>
            <w:r>
              <w:rPr>
                <w:rFonts w:hint="eastAsia" w:ascii="仿宋_GB2312" w:eastAsia="仿宋_GB2312"/>
                <w:b/>
                <w:bCs/>
                <w:color w:val="auto"/>
                <w:szCs w:val="21"/>
              </w:rPr>
              <w:t>土地使用权出让年限</w:t>
            </w:r>
            <w:r>
              <w:rPr>
                <w:rFonts w:hint="eastAsia" w:ascii="仿宋_GB2312" w:eastAsia="仿宋_GB2312"/>
                <w:b/>
                <w:bCs/>
                <w:color w:val="auto"/>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jc w:val="center"/>
        </w:trPr>
        <w:tc>
          <w:tcPr>
            <w:tcW w:w="693"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7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55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795" w:type="dxa"/>
            <w:vMerge w:val="continue"/>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c>
          <w:tcPr>
            <w:tcW w:w="85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870" w:type="dxa"/>
            <w:vAlign w:val="center"/>
          </w:tcPr>
          <w:p>
            <w:pPr>
              <w:spacing w:line="320" w:lineRule="exact"/>
              <w:jc w:val="center"/>
              <w:rPr>
                <w:rFonts w:hint="eastAsia" w:ascii="仿宋_GB2312" w:eastAsia="仿宋_GB2312"/>
                <w:b/>
                <w:bCs/>
                <w:color w:val="auto"/>
              </w:rPr>
            </w:pPr>
            <w:r>
              <w:rPr>
                <w:rFonts w:hint="eastAsia" w:ascii="仿宋_GB2312" w:eastAsia="仿宋_GB2312"/>
                <w:b/>
                <w:bCs/>
                <w:color w:val="auto"/>
                <w:szCs w:val="21"/>
              </w:rPr>
              <w:t>计算指标用地面积（</w:t>
            </w:r>
            <w:r>
              <w:rPr>
                <w:rFonts w:hint="eastAsia" w:ascii="宋体" w:hAnsi="宋体" w:cs="宋体"/>
                <w:b/>
                <w:bCs/>
                <w:color w:val="auto"/>
                <w:szCs w:val="21"/>
              </w:rPr>
              <w:t>㎡</w:t>
            </w:r>
            <w:r>
              <w:rPr>
                <w:rFonts w:hint="eastAsia" w:ascii="仿宋_GB2312" w:eastAsia="仿宋_GB2312"/>
                <w:b/>
                <w:bCs/>
                <w:color w:val="auto"/>
                <w:szCs w:val="21"/>
              </w:rPr>
              <w:t>）</w:t>
            </w:r>
          </w:p>
          <w:p>
            <w:pPr>
              <w:jc w:val="center"/>
              <w:rPr>
                <w:rFonts w:hint="default" w:ascii="仿宋_GB2312" w:hAnsi="Times New Roman" w:eastAsia="仿宋_GB2312"/>
                <w:color w:val="auto"/>
                <w:szCs w:val="21"/>
                <w:lang w:val="en-US" w:eastAsia="zh-CN"/>
              </w:rPr>
            </w:pPr>
          </w:p>
        </w:tc>
        <w:tc>
          <w:tcPr>
            <w:tcW w:w="585" w:type="dxa"/>
            <w:vAlign w:val="center"/>
          </w:tcPr>
          <w:p>
            <w:pPr>
              <w:jc w:val="center"/>
              <w:rPr>
                <w:rFonts w:hint="default" w:ascii="仿宋_GB2312" w:hAnsi="Times New Roman" w:eastAsia="仿宋_GB2312"/>
                <w:color w:val="auto"/>
                <w:szCs w:val="21"/>
                <w:lang w:val="en-US" w:eastAsia="zh-CN"/>
              </w:rPr>
            </w:pPr>
            <w:r>
              <w:rPr>
                <w:rFonts w:hint="default" w:ascii="仿宋_GB2312" w:hAnsi="Times New Roman" w:eastAsia="仿宋_GB2312"/>
                <w:b/>
                <w:bCs/>
                <w:color w:val="auto"/>
                <w:szCs w:val="21"/>
                <w:lang w:val="en-US" w:eastAsia="zh-CN"/>
              </w:rPr>
              <w:t>建筑密度（%）</w:t>
            </w:r>
          </w:p>
        </w:tc>
        <w:tc>
          <w:tcPr>
            <w:tcW w:w="516" w:type="dxa"/>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lang w:eastAsia="zh-CN"/>
              </w:rPr>
              <w:t>容积率</w:t>
            </w:r>
          </w:p>
        </w:tc>
        <w:tc>
          <w:tcPr>
            <w:tcW w:w="550" w:type="dxa"/>
            <w:vAlign w:val="center"/>
          </w:tcPr>
          <w:p>
            <w:pPr>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绿地率（%）</w:t>
            </w:r>
          </w:p>
        </w:tc>
        <w:tc>
          <w:tcPr>
            <w:tcW w:w="1838" w:type="dxa"/>
            <w:gridSpan w:val="2"/>
            <w:vAlign w:val="center"/>
          </w:tcPr>
          <w:p>
            <w:pPr>
              <w:spacing w:line="320" w:lineRule="exact"/>
              <w:ind w:left="44" w:right="-53" w:rightChars="-25" w:hanging="44" w:hangingChars="21"/>
              <w:jc w:val="center"/>
              <w:rPr>
                <w:rFonts w:hint="eastAsia" w:ascii="仿宋" w:hAnsi="仿宋" w:eastAsia="仿宋" w:cs="仿宋"/>
                <w:b/>
                <w:bCs/>
                <w:color w:val="auto"/>
                <w:szCs w:val="21"/>
              </w:rPr>
            </w:pPr>
            <w:r>
              <w:rPr>
                <w:rFonts w:hint="eastAsia" w:ascii="仿宋" w:hAnsi="仿宋" w:eastAsia="仿宋" w:cs="仿宋"/>
                <w:b/>
                <w:bCs/>
                <w:color w:val="auto"/>
                <w:szCs w:val="21"/>
              </w:rPr>
              <w:t>计容积率建筑面积（㎡）</w:t>
            </w:r>
          </w:p>
        </w:tc>
        <w:tc>
          <w:tcPr>
            <w:tcW w:w="937" w:type="dxa"/>
            <w:vAlign w:val="center"/>
          </w:tcPr>
          <w:p>
            <w:pPr>
              <w:adjustRightInd w:val="0"/>
              <w:snapToGrid w:val="0"/>
              <w:spacing w:line="320" w:lineRule="exact"/>
              <w:ind w:left="-27" w:leftChars="-51" w:hanging="80" w:hangingChars="38"/>
              <w:jc w:val="center"/>
              <w:rPr>
                <w:rFonts w:hint="eastAsia" w:ascii="仿宋_GB2312" w:eastAsia="仿宋_GB2312"/>
                <w:b/>
                <w:bCs/>
                <w:color w:val="auto"/>
              </w:rPr>
            </w:pPr>
            <w:r>
              <w:rPr>
                <w:rFonts w:hint="eastAsia" w:ascii="仿宋_GB2312" w:eastAsia="仿宋_GB2312"/>
                <w:b/>
                <w:bCs/>
                <w:color w:val="auto"/>
              </w:rPr>
              <w:t>机动车停车位（个）</w:t>
            </w:r>
          </w:p>
        </w:tc>
        <w:tc>
          <w:tcPr>
            <w:tcW w:w="900" w:type="dxa"/>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r>
              <w:rPr>
                <w:rFonts w:hint="eastAsia" w:ascii="仿宋_GB2312" w:eastAsia="仿宋_GB2312"/>
                <w:b/>
                <w:bCs/>
                <w:color w:val="auto"/>
                <w:lang w:eastAsia="zh-CN"/>
              </w:rPr>
              <w:t>适建性</w:t>
            </w:r>
          </w:p>
        </w:tc>
        <w:tc>
          <w:tcPr>
            <w:tcW w:w="707" w:type="dxa"/>
            <w:vMerge w:val="continue"/>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jc w:val="center"/>
        </w:trPr>
        <w:tc>
          <w:tcPr>
            <w:tcW w:w="693" w:type="dxa"/>
            <w:vMerge w:val="restart"/>
            <w:tcMar>
              <w:left w:w="0" w:type="dxa"/>
              <w:right w:w="0" w:type="dxa"/>
            </w:tcMar>
            <w:vAlign w:val="center"/>
          </w:tcPr>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GP2020-17</w:t>
            </w:r>
            <w:bookmarkStart w:id="0" w:name="_GoBack"/>
            <w:bookmarkEnd w:id="0"/>
          </w:p>
        </w:tc>
        <w:tc>
          <w:tcPr>
            <w:tcW w:w="675" w:type="dxa"/>
            <w:vMerge w:val="restart"/>
            <w:vAlign w:val="center"/>
          </w:tcPr>
          <w:p>
            <w:pPr>
              <w:jc w:val="center"/>
              <w:rPr>
                <w:rFonts w:hint="eastAsia" w:ascii="仿宋_GB2312" w:hAnsi="Times New Roman" w:eastAsia="仿宋_GB2312"/>
                <w:color w:val="auto"/>
                <w:szCs w:val="21"/>
                <w:lang w:eastAsia="zh-CN"/>
              </w:rPr>
            </w:pPr>
            <w:r>
              <w:rPr>
                <w:rFonts w:hint="eastAsia" w:ascii="仿宋_GB2312" w:hAnsi="Times New Roman" w:eastAsia="仿宋_GB2312"/>
                <w:color w:val="auto"/>
                <w:szCs w:val="21"/>
                <w:lang w:val="en-US" w:eastAsia="zh-CN"/>
              </w:rPr>
              <w:t>惠州市</w:t>
            </w:r>
            <w:r>
              <w:rPr>
                <w:rFonts w:hint="eastAsia" w:ascii="仿宋_GB2312" w:hAnsi="Times New Roman" w:eastAsia="仿宋_GB2312"/>
                <w:color w:val="auto"/>
                <w:szCs w:val="21"/>
                <w:lang w:eastAsia="zh-CN"/>
              </w:rPr>
              <w:t>火车站地区JBX14-03地块</w:t>
            </w:r>
          </w:p>
        </w:tc>
        <w:tc>
          <w:tcPr>
            <w:tcW w:w="555" w:type="dxa"/>
            <w:vMerge w:val="restart"/>
            <w:vAlign w:val="center"/>
          </w:tcPr>
          <w:p>
            <w:pPr>
              <w:jc w:val="center"/>
              <w:rPr>
                <w:rFonts w:hint="default" w:ascii="仿宋_GB2312" w:hAnsi="Times New Roman" w:eastAsia="仿宋_GB2312"/>
                <w:color w:val="auto"/>
                <w:szCs w:val="21"/>
                <w:lang w:val="en-US" w:eastAsia="zh-CN"/>
              </w:rPr>
            </w:pPr>
            <w:r>
              <w:rPr>
                <w:rFonts w:hint="eastAsia" w:ascii="仿宋_GB2312" w:hAnsi="仿宋_GB2312" w:eastAsia="仿宋_GB2312" w:cs="仿宋_GB2312"/>
                <w:color w:val="auto"/>
              </w:rPr>
              <w:t>JBX14-03</w:t>
            </w:r>
          </w:p>
        </w:tc>
        <w:tc>
          <w:tcPr>
            <w:tcW w:w="795" w:type="dxa"/>
            <w:vMerge w:val="restart"/>
            <w:tcMar>
              <w:left w:w="0" w:type="dxa"/>
              <w:right w:w="0" w:type="dxa"/>
            </w:tcMar>
            <w:vAlign w:val="center"/>
          </w:tcPr>
          <w:p>
            <w:pPr>
              <w:jc w:val="both"/>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商业用地、住宅用地</w:t>
            </w:r>
          </w:p>
        </w:tc>
        <w:tc>
          <w:tcPr>
            <w:tcW w:w="855" w:type="dxa"/>
            <w:vMerge w:val="restart"/>
            <w:tcMar>
              <w:left w:w="0" w:type="dxa"/>
              <w:right w:w="0" w:type="dxa"/>
            </w:tcMar>
            <w:vAlign w:val="center"/>
          </w:tcPr>
          <w:p>
            <w:pPr>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21444.73</w:t>
            </w:r>
          </w:p>
        </w:tc>
        <w:tc>
          <w:tcPr>
            <w:tcW w:w="870" w:type="dxa"/>
            <w:vMerge w:val="restart"/>
            <w:vAlign w:val="center"/>
          </w:tcPr>
          <w:p>
            <w:pPr>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28281.48</w:t>
            </w:r>
          </w:p>
        </w:tc>
        <w:tc>
          <w:tcPr>
            <w:tcW w:w="585" w:type="dxa"/>
            <w:vMerge w:val="restart"/>
            <w:vAlign w:val="center"/>
          </w:tcPr>
          <w:p>
            <w:pPr>
              <w:jc w:val="center"/>
              <w:rPr>
                <w:rFonts w:hint="eastAsia" w:ascii="仿宋" w:hAnsi="仿宋" w:eastAsia="仿宋"/>
                <w:color w:val="auto"/>
                <w:lang w:val="en-US" w:eastAsia="zh-CN"/>
              </w:rPr>
            </w:pPr>
            <w:r>
              <w:rPr>
                <w:rFonts w:hint="eastAsia" w:ascii="仿宋" w:hAnsi="仿宋" w:eastAsia="仿宋"/>
                <w:color w:val="auto"/>
                <w:lang w:val="en-US" w:eastAsia="zh-CN"/>
              </w:rPr>
              <w:t>≤35</w:t>
            </w:r>
          </w:p>
        </w:tc>
        <w:tc>
          <w:tcPr>
            <w:tcW w:w="516" w:type="dxa"/>
            <w:vMerge w:val="restart"/>
            <w:vAlign w:val="center"/>
          </w:tcPr>
          <w:p>
            <w:pPr>
              <w:ind w:left="-103"/>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≤3.5</w:t>
            </w:r>
          </w:p>
        </w:tc>
        <w:tc>
          <w:tcPr>
            <w:tcW w:w="550" w:type="dxa"/>
            <w:vMerge w:val="restart"/>
            <w:vAlign w:val="center"/>
          </w:tcPr>
          <w:p>
            <w:pPr>
              <w:ind w:left="-103"/>
              <w:jc w:val="center"/>
              <w:rPr>
                <w:rFonts w:hint="eastAsia" w:ascii="仿宋" w:hAnsi="仿宋" w:eastAsia="仿宋"/>
                <w:color w:val="auto"/>
                <w:lang w:val="en-US" w:eastAsia="zh-CN"/>
              </w:rPr>
            </w:pPr>
            <w:r>
              <w:rPr>
                <w:rFonts w:hint="eastAsia" w:ascii="仿宋" w:hAnsi="仿宋" w:eastAsia="仿宋"/>
                <w:color w:val="auto"/>
                <w:lang w:val="en-US" w:eastAsia="zh-CN"/>
              </w:rPr>
              <w:t>≥30</w:t>
            </w:r>
          </w:p>
        </w:tc>
        <w:tc>
          <w:tcPr>
            <w:tcW w:w="1838" w:type="dxa"/>
            <w:gridSpan w:val="2"/>
            <w:vAlign w:val="center"/>
          </w:tcPr>
          <w:p>
            <w:pPr>
              <w:jc w:val="center"/>
              <w:rPr>
                <w:rFonts w:hint="eastAsia" w:ascii="仿宋" w:hAnsi="仿宋" w:eastAsia="仿宋" w:cs="仿宋"/>
                <w:color w:val="auto"/>
                <w:szCs w:val="21"/>
              </w:rPr>
            </w:pPr>
            <w:r>
              <w:rPr>
                <w:rFonts w:hint="eastAsia" w:ascii="仿宋" w:hAnsi="仿宋" w:eastAsia="仿宋" w:cs="仿宋"/>
                <w:color w:val="auto"/>
              </w:rPr>
              <w:t>≤98987</w:t>
            </w:r>
          </w:p>
        </w:tc>
        <w:tc>
          <w:tcPr>
            <w:tcW w:w="937" w:type="dxa"/>
            <w:vMerge w:val="restart"/>
            <w:vAlign w:val="center"/>
          </w:tcPr>
          <w:p>
            <w:pPr>
              <w:jc w:val="center"/>
              <w:rPr>
                <w:rFonts w:hint="default" w:ascii="仿宋_GB2312" w:hAnsi="Times New Roman" w:eastAsia="仿宋"/>
                <w:color w:val="auto"/>
                <w:szCs w:val="21"/>
                <w:lang w:val="en-US" w:eastAsia="zh-CN"/>
              </w:rPr>
            </w:pPr>
            <w:r>
              <w:rPr>
                <w:rFonts w:hint="eastAsia" w:ascii="仿宋" w:hAnsi="仿宋" w:eastAsia="仿宋"/>
                <w:color w:val="auto"/>
                <w:lang w:eastAsia="zh-CN"/>
              </w:rPr>
              <w:t>每100平方米计容积率建筑面积≥1个</w:t>
            </w:r>
          </w:p>
        </w:tc>
        <w:tc>
          <w:tcPr>
            <w:tcW w:w="900" w:type="dxa"/>
            <w:vMerge w:val="restart"/>
            <w:vAlign w:val="center"/>
          </w:tcPr>
          <w:p>
            <w:pPr>
              <w:jc w:val="center"/>
              <w:rPr>
                <w:rFonts w:hint="eastAsia" w:ascii="仿宋" w:hAnsi="仿宋" w:eastAsia="仿宋"/>
                <w:color w:val="auto"/>
                <w:lang w:eastAsia="zh-CN"/>
              </w:rPr>
            </w:pPr>
            <w:r>
              <w:rPr>
                <w:rFonts w:hint="eastAsia" w:ascii="仿宋" w:hAnsi="仿宋" w:eastAsia="仿宋"/>
                <w:color w:val="auto"/>
                <w:lang w:eastAsia="zh-CN"/>
              </w:rPr>
              <w:t>商业服务业设施、住宅及配套设施</w:t>
            </w:r>
          </w:p>
        </w:tc>
        <w:tc>
          <w:tcPr>
            <w:tcW w:w="707" w:type="dxa"/>
            <w:vMerge w:val="restart"/>
            <w:vAlign w:val="center"/>
          </w:tcPr>
          <w:p>
            <w:pPr>
              <w:jc w:val="center"/>
              <w:rPr>
                <w:rFonts w:hint="eastAsia" w:ascii="仿宋" w:hAnsi="仿宋" w:eastAsia="仿宋"/>
                <w:color w:val="auto"/>
                <w:lang w:eastAsia="zh-CN"/>
              </w:rPr>
            </w:pPr>
            <w:r>
              <w:rPr>
                <w:rFonts w:hint="eastAsia" w:ascii="仿宋" w:hAnsi="仿宋" w:eastAsia="仿宋"/>
                <w:color w:val="auto"/>
                <w:lang w:eastAsia="zh-CN"/>
              </w:rPr>
              <w:t>商业：40</w:t>
            </w:r>
          </w:p>
          <w:p>
            <w:pPr>
              <w:jc w:val="center"/>
              <w:rPr>
                <w:rFonts w:hint="eastAsia" w:ascii="仿宋" w:hAnsi="仿宋" w:eastAsia="仿宋"/>
                <w:color w:val="auto"/>
                <w:lang w:eastAsia="zh-CN"/>
              </w:rPr>
            </w:pPr>
            <w:r>
              <w:rPr>
                <w:rFonts w:hint="eastAsia" w:ascii="仿宋" w:hAnsi="仿宋" w:eastAsia="仿宋"/>
                <w:color w:val="auto"/>
                <w:lang w:eastAsia="zh-CN"/>
              </w:rPr>
              <w:t>住宅：70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693" w:type="dxa"/>
            <w:vMerge w:val="continue"/>
            <w:tcMar>
              <w:left w:w="0" w:type="dxa"/>
              <w:right w:w="0" w:type="dxa"/>
            </w:tcMar>
            <w:vAlign w:val="center"/>
          </w:tcPr>
          <w:p>
            <w:pPr>
              <w:jc w:val="center"/>
            </w:pPr>
          </w:p>
        </w:tc>
        <w:tc>
          <w:tcPr>
            <w:tcW w:w="675" w:type="dxa"/>
            <w:vMerge w:val="continue"/>
            <w:vAlign w:val="center"/>
          </w:tcPr>
          <w:p>
            <w:pPr>
              <w:jc w:val="center"/>
            </w:pPr>
          </w:p>
        </w:tc>
        <w:tc>
          <w:tcPr>
            <w:tcW w:w="555" w:type="dxa"/>
            <w:vMerge w:val="continue"/>
            <w:vAlign w:val="center"/>
          </w:tcPr>
          <w:p>
            <w:pPr>
              <w:jc w:val="center"/>
            </w:pPr>
          </w:p>
        </w:tc>
        <w:tc>
          <w:tcPr>
            <w:tcW w:w="795" w:type="dxa"/>
            <w:vMerge w:val="continue"/>
            <w:tcMar>
              <w:left w:w="0" w:type="dxa"/>
              <w:right w:w="0" w:type="dxa"/>
            </w:tcMar>
            <w:vAlign w:val="center"/>
          </w:tcPr>
          <w:p>
            <w:pPr>
              <w:jc w:val="center"/>
            </w:pPr>
          </w:p>
        </w:tc>
        <w:tc>
          <w:tcPr>
            <w:tcW w:w="855" w:type="dxa"/>
            <w:vMerge w:val="continue"/>
            <w:tcMar>
              <w:left w:w="0" w:type="dxa"/>
              <w:right w:w="0" w:type="dxa"/>
            </w:tcMar>
            <w:vAlign w:val="center"/>
          </w:tcPr>
          <w:p>
            <w:pPr>
              <w:jc w:val="center"/>
            </w:pPr>
          </w:p>
        </w:tc>
        <w:tc>
          <w:tcPr>
            <w:tcW w:w="870" w:type="dxa"/>
            <w:vMerge w:val="continue"/>
            <w:vAlign w:val="center"/>
          </w:tcPr>
          <w:p>
            <w:pPr>
              <w:jc w:val="center"/>
            </w:pPr>
          </w:p>
        </w:tc>
        <w:tc>
          <w:tcPr>
            <w:tcW w:w="585" w:type="dxa"/>
            <w:vMerge w:val="continue"/>
            <w:vAlign w:val="center"/>
          </w:tcPr>
          <w:p>
            <w:pPr>
              <w:jc w:val="center"/>
            </w:pPr>
          </w:p>
        </w:tc>
        <w:tc>
          <w:tcPr>
            <w:tcW w:w="516" w:type="dxa"/>
            <w:vMerge w:val="continue"/>
            <w:vAlign w:val="center"/>
          </w:tcPr>
          <w:p>
            <w:pPr>
              <w:jc w:val="center"/>
            </w:pPr>
          </w:p>
        </w:tc>
        <w:tc>
          <w:tcPr>
            <w:tcW w:w="550" w:type="dxa"/>
            <w:vMerge w:val="continue"/>
            <w:vAlign w:val="center"/>
          </w:tcPr>
          <w:p>
            <w:pPr>
              <w:jc w:val="center"/>
            </w:pPr>
          </w:p>
        </w:tc>
        <w:tc>
          <w:tcPr>
            <w:tcW w:w="563" w:type="dxa"/>
            <w:vMerge w:val="restart"/>
            <w:vAlign w:val="center"/>
          </w:tcPr>
          <w:p>
            <w:pPr>
              <w:jc w:val="center"/>
              <w:rPr>
                <w:rFonts w:hint="eastAsia" w:ascii="仿宋" w:hAnsi="仿宋" w:eastAsia="仿宋" w:cs="仿宋"/>
                <w:lang w:eastAsia="zh-CN"/>
              </w:rPr>
            </w:pPr>
            <w:r>
              <w:rPr>
                <w:rFonts w:hint="eastAsia" w:ascii="仿宋" w:hAnsi="仿宋" w:eastAsia="仿宋" w:cs="仿宋"/>
                <w:lang w:eastAsia="zh-CN"/>
              </w:rPr>
              <w:t>其中</w:t>
            </w:r>
          </w:p>
        </w:tc>
        <w:tc>
          <w:tcPr>
            <w:tcW w:w="1275" w:type="dxa"/>
            <w:vAlign w:val="center"/>
          </w:tcPr>
          <w:p>
            <w:pPr>
              <w:jc w:val="center"/>
              <w:rPr>
                <w:rFonts w:hint="eastAsia" w:ascii="仿宋" w:hAnsi="仿宋" w:eastAsia="仿宋" w:cs="仿宋"/>
              </w:rPr>
            </w:pPr>
            <w:r>
              <w:rPr>
                <w:rFonts w:hint="eastAsia" w:ascii="仿宋" w:hAnsi="仿宋" w:eastAsia="仿宋" w:cs="仿宋"/>
                <w:lang w:eastAsia="zh-CN"/>
              </w:rPr>
              <w:t>服务型公寓建筑面积的比例≤15%</w:t>
            </w:r>
          </w:p>
        </w:tc>
        <w:tc>
          <w:tcPr>
            <w:tcW w:w="937" w:type="dxa"/>
            <w:vMerge w:val="continue"/>
            <w:vAlign w:val="center"/>
          </w:tcPr>
          <w:p>
            <w:pPr>
              <w:jc w:val="center"/>
            </w:pPr>
          </w:p>
        </w:tc>
        <w:tc>
          <w:tcPr>
            <w:tcW w:w="900" w:type="dxa"/>
            <w:vMerge w:val="continue"/>
            <w:vAlign w:val="center"/>
          </w:tcPr>
          <w:p>
            <w:pPr>
              <w:jc w:val="center"/>
            </w:pPr>
          </w:p>
        </w:tc>
        <w:tc>
          <w:tcPr>
            <w:tcW w:w="70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693" w:type="dxa"/>
            <w:vMerge w:val="continue"/>
            <w:tcMar>
              <w:left w:w="0" w:type="dxa"/>
              <w:right w:w="0" w:type="dxa"/>
            </w:tcMar>
            <w:vAlign w:val="center"/>
          </w:tcPr>
          <w:p>
            <w:pPr>
              <w:jc w:val="center"/>
            </w:pPr>
          </w:p>
        </w:tc>
        <w:tc>
          <w:tcPr>
            <w:tcW w:w="675" w:type="dxa"/>
            <w:vMerge w:val="continue"/>
            <w:vAlign w:val="center"/>
          </w:tcPr>
          <w:p>
            <w:pPr>
              <w:jc w:val="center"/>
            </w:pPr>
          </w:p>
        </w:tc>
        <w:tc>
          <w:tcPr>
            <w:tcW w:w="555" w:type="dxa"/>
            <w:vMerge w:val="continue"/>
            <w:vAlign w:val="center"/>
          </w:tcPr>
          <w:p>
            <w:pPr>
              <w:jc w:val="center"/>
            </w:pPr>
          </w:p>
        </w:tc>
        <w:tc>
          <w:tcPr>
            <w:tcW w:w="795" w:type="dxa"/>
            <w:vMerge w:val="continue"/>
            <w:tcMar>
              <w:left w:w="0" w:type="dxa"/>
              <w:right w:w="0" w:type="dxa"/>
            </w:tcMar>
            <w:vAlign w:val="center"/>
          </w:tcPr>
          <w:p>
            <w:pPr>
              <w:jc w:val="center"/>
            </w:pPr>
          </w:p>
        </w:tc>
        <w:tc>
          <w:tcPr>
            <w:tcW w:w="855" w:type="dxa"/>
            <w:vMerge w:val="continue"/>
            <w:tcMar>
              <w:left w:w="0" w:type="dxa"/>
              <w:right w:w="0" w:type="dxa"/>
            </w:tcMar>
            <w:vAlign w:val="center"/>
          </w:tcPr>
          <w:p>
            <w:pPr>
              <w:jc w:val="center"/>
            </w:pPr>
          </w:p>
        </w:tc>
        <w:tc>
          <w:tcPr>
            <w:tcW w:w="870" w:type="dxa"/>
            <w:vMerge w:val="continue"/>
            <w:vAlign w:val="center"/>
          </w:tcPr>
          <w:p>
            <w:pPr>
              <w:jc w:val="center"/>
            </w:pPr>
          </w:p>
        </w:tc>
        <w:tc>
          <w:tcPr>
            <w:tcW w:w="585" w:type="dxa"/>
            <w:vMerge w:val="continue"/>
            <w:vAlign w:val="center"/>
          </w:tcPr>
          <w:p>
            <w:pPr>
              <w:jc w:val="center"/>
            </w:pPr>
          </w:p>
        </w:tc>
        <w:tc>
          <w:tcPr>
            <w:tcW w:w="516" w:type="dxa"/>
            <w:vMerge w:val="continue"/>
            <w:vAlign w:val="center"/>
          </w:tcPr>
          <w:p>
            <w:pPr>
              <w:jc w:val="center"/>
            </w:pPr>
          </w:p>
        </w:tc>
        <w:tc>
          <w:tcPr>
            <w:tcW w:w="550" w:type="dxa"/>
            <w:vMerge w:val="continue"/>
            <w:vAlign w:val="center"/>
          </w:tcPr>
          <w:p>
            <w:pPr>
              <w:jc w:val="center"/>
            </w:pPr>
          </w:p>
        </w:tc>
        <w:tc>
          <w:tcPr>
            <w:tcW w:w="563" w:type="dxa"/>
            <w:vMerge w:val="continue"/>
            <w:vAlign w:val="center"/>
          </w:tcPr>
          <w:p>
            <w:pPr>
              <w:jc w:val="center"/>
              <w:rPr>
                <w:rFonts w:hint="eastAsia" w:ascii="仿宋" w:hAnsi="仿宋" w:eastAsia="仿宋" w:cs="仿宋"/>
              </w:rPr>
            </w:pPr>
          </w:p>
        </w:tc>
        <w:tc>
          <w:tcPr>
            <w:tcW w:w="1275" w:type="dxa"/>
            <w:vAlign w:val="center"/>
          </w:tcPr>
          <w:p>
            <w:pPr>
              <w:jc w:val="center"/>
              <w:rPr>
                <w:rFonts w:hint="eastAsia" w:ascii="仿宋" w:hAnsi="仿宋" w:eastAsia="仿宋" w:cs="仿宋"/>
                <w:lang w:val="en-US" w:eastAsia="zh-CN"/>
              </w:rPr>
            </w:pPr>
            <w:r>
              <w:rPr>
                <w:rFonts w:hint="eastAsia" w:ascii="仿宋" w:hAnsi="仿宋" w:eastAsia="仿宋" w:cs="仿宋"/>
                <w:lang w:eastAsia="zh-CN"/>
              </w:rPr>
              <w:t>住宅建筑面积的比例≤30%</w:t>
            </w:r>
          </w:p>
        </w:tc>
        <w:tc>
          <w:tcPr>
            <w:tcW w:w="937" w:type="dxa"/>
            <w:vMerge w:val="continue"/>
            <w:vAlign w:val="center"/>
          </w:tcPr>
          <w:p>
            <w:pPr>
              <w:jc w:val="center"/>
            </w:pPr>
          </w:p>
        </w:tc>
        <w:tc>
          <w:tcPr>
            <w:tcW w:w="900" w:type="dxa"/>
            <w:vMerge w:val="continue"/>
            <w:vAlign w:val="center"/>
          </w:tcPr>
          <w:p>
            <w:pPr>
              <w:jc w:val="center"/>
            </w:pPr>
          </w:p>
        </w:tc>
        <w:tc>
          <w:tcPr>
            <w:tcW w:w="707" w:type="dxa"/>
            <w:vMerge w:val="continue"/>
            <w:vAlign w:val="center"/>
          </w:tcPr>
          <w:p>
            <w:pPr>
              <w:jc w:val="center"/>
            </w:pPr>
          </w:p>
        </w:tc>
      </w:tr>
    </w:tbl>
    <w:p>
      <w:pPr>
        <w:spacing w:line="360" w:lineRule="auto"/>
        <w:ind w:firstLine="5120" w:firstLineChars="1600"/>
        <w:rPr>
          <w:rFonts w:hint="default" w:ascii="仿宋_GB2312" w:eastAsia="仿宋_GB2312"/>
          <w:sz w:val="32"/>
          <w:szCs w:val="32"/>
          <w:lang w:val="en-US" w:eastAsia="zh-CN"/>
        </w:rPr>
        <w:sectPr>
          <w:headerReference r:id="rId3" w:type="default"/>
          <w:footerReference r:id="rId4" w:type="default"/>
          <w:pgSz w:w="11906" w:h="16838"/>
          <w:pgMar w:top="1440" w:right="1440" w:bottom="1440" w:left="1440" w:header="851" w:footer="992" w:gutter="0"/>
          <w:pgNumType w:fmt="numberInDash"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D304B"/>
    <w:rsid w:val="0F3A7880"/>
    <w:rsid w:val="267D4685"/>
    <w:rsid w:val="29334481"/>
    <w:rsid w:val="371510D5"/>
    <w:rsid w:val="42AD304B"/>
    <w:rsid w:val="77AE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2020-05-27T01:08:00Z</dcterms:created>
  <dc:creator>黄春枚</dc:creator>
  <cp:lastModifiedBy>黄春枚</cp:lastModifiedBy>
  <dcterms:modified xsi:type="dcterms:W3CDTF">2020-05-27T08:12:15Z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